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numPr>
          <w:ilvl w:val="2"/>
          <w:numId w:val="2"/>
        </w:numPr>
      </w:pPr>
      <w:r>
        <w:rPr>
          <w:sz w:val="36"/>
          <w:szCs w:val="36"/>
        </w:rPr>
        <w:t>VAGYONKEZELÉSI szerződés</w:t>
      </w:r>
    </w:p>
    <w:p>
      <w:pPr>
        <w:pStyle w:val="style0"/>
        <w:spacing w:after="0" w:before="0" w:line="102" w:lineRule="atLeast"/>
      </w:pPr>
      <w:r>
        <w:rPr>
          <w:b w:val="false"/>
        </w:rPr>
        <w:t xml:space="preserve">amely létrejött egyrészről </w:t>
      </w:r>
    </w:p>
    <w:p>
      <w:pPr>
        <w:pStyle w:val="style0"/>
        <w:spacing w:after="0" w:before="0" w:line="102" w:lineRule="atLeast"/>
      </w:pPr>
      <w:r>
        <w:rPr>
          <w:bCs/>
        </w:rPr>
        <w:t>Répcelak Város Önkormányzata</w:t>
      </w:r>
    </w:p>
    <w:p>
      <w:pPr>
        <w:pStyle w:val="style0"/>
        <w:spacing w:after="0" w:before="0" w:line="102" w:lineRule="atLeast"/>
      </w:pPr>
      <w:r>
        <w:rPr>
          <w:b w:val="false"/>
        </w:rPr>
        <w:t>székhelye: 9653 Répcelak, Bartók B. u. 38.</w:t>
      </w:r>
    </w:p>
    <w:p>
      <w:pPr>
        <w:pStyle w:val="style0"/>
        <w:spacing w:after="0" w:before="0" w:line="102" w:lineRule="atLeast"/>
      </w:pPr>
      <w:r>
        <w:rPr>
          <w:b w:val="false"/>
        </w:rPr>
        <w:t xml:space="preserve">képviseli: Dr. Németh Kálmán polgármester 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törzsszáma:733755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adóigazgatási azonosító száma: 15733751-1-18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bankszámlaszáma: 72600115-15001007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statisztikai számjele: 15733751-8411-321-18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mint átadó (a továbbiakban: Önkormányzat), valamint a</w:t>
      </w:r>
    </w:p>
    <w:p>
      <w:pPr>
        <w:pStyle w:val="style0"/>
        <w:spacing w:after="0" w:before="0" w:line="102" w:lineRule="atLeast"/>
        <w:jc w:val="both"/>
      </w:pPr>
      <w:r>
        <w:rPr/>
      </w:r>
    </w:p>
    <w:p>
      <w:pPr>
        <w:pStyle w:val="style0"/>
        <w:spacing w:after="0" w:before="0" w:line="102" w:lineRule="atLeast"/>
        <w:jc w:val="both"/>
      </w:pPr>
      <w:r>
        <w:rPr/>
        <w:t>Klebelsberg Intézményfenntartó Központ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székhelye: 1055 Budapest, Szalay u. 10-14.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képviseli: Várkonyi Gyöngyi Sárvári Tankerületi igazgató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adóigazgatási azonosító száma: 15799658</w:t>
      </w:r>
      <w:bookmarkStart w:id="0" w:name="_GoBack"/>
      <w:bookmarkEnd w:id="0"/>
      <w:r>
        <w:rPr>
          <w:b w:val="false"/>
        </w:rPr>
        <w:t>-2-41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Előirányzat-felhasználási keretszámla száma: 10032000 00329307 00000000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ÁHT azonosítója: 335262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>statisztikai számjele: 15799658-8412-312-01</w:t>
      </w:r>
    </w:p>
    <w:p>
      <w:pPr>
        <w:pStyle w:val="style0"/>
        <w:spacing w:after="0" w:before="0" w:line="102" w:lineRule="atLeast"/>
        <w:jc w:val="both"/>
      </w:pPr>
      <w:r>
        <w:rPr>
          <w:b w:val="false"/>
        </w:rPr>
        <w:t xml:space="preserve">mint átvevő (a továbbiakban: KIK) </w:t>
      </w:r>
    </w:p>
    <w:p>
      <w:pPr>
        <w:pStyle w:val="style45"/>
        <w:spacing w:after="0" w:before="0" w:line="102" w:lineRule="atLeast"/>
      </w:pPr>
      <w:r>
        <w:rPr/>
        <w:t xml:space="preserve">(a továbbiakban együtt: </w:t>
      </w:r>
      <w:r>
        <w:rPr>
          <w:b/>
        </w:rPr>
        <w:t>Felek</w:t>
      </w:r>
      <w:r>
        <w:rPr/>
        <w:t>) között alulírott helyen és napon a következő feltételekkel:</w:t>
      </w:r>
    </w:p>
    <w:p>
      <w:pPr>
        <w:pStyle w:val="style45"/>
        <w:spacing w:after="240" w:before="240"/>
        <w:jc w:val="center"/>
      </w:pPr>
      <w:r>
        <w:rPr>
          <w:b/>
        </w:rPr>
        <w:t>ELŐZMÉNYEK</w:t>
      </w:r>
    </w:p>
    <w:p>
      <w:pPr>
        <w:pStyle w:val="style0"/>
        <w:spacing w:after="120" w:before="120"/>
        <w:jc w:val="both"/>
      </w:pPr>
      <w:r>
        <w:rPr>
          <w:b w:val="false"/>
        </w:rPr>
        <w:t xml:space="preserve">A nemzeti köznevelésről szóló 2011. évi CXC. törvény (a továbbiakban: Nkt.) 74.§ (1) bekezdése alapján 2013. január 1-jétől </w:t>
      </w:r>
      <w:r>
        <w:rPr>
          <w:b w:val="false"/>
          <w:szCs w:val="24"/>
        </w:rPr>
        <w:t>„az állam gondoskodik - az óvodai nevelés, a nemzetiséghez tartozók óvodai nevelése, a többi gyermekkel, tanulóval együtt nevelhető, oktatható sajátos nevelési igényű gyermekek óvodai nevelése kivételével - a köznevelési alapfeladatok ellátásáról</w:t>
      </w:r>
      <w:r>
        <w:rPr>
          <w:b w:val="false"/>
          <w:color w:val="222222"/>
          <w:szCs w:val="24"/>
        </w:rPr>
        <w:t>”.</w:t>
      </w:r>
      <w:r>
        <w:rPr>
          <w:color w:val="222222"/>
          <w:szCs w:val="24"/>
        </w:rPr>
        <w:t xml:space="preserve"> </w:t>
      </w:r>
      <w:r>
        <w:rPr>
          <w:b w:val="false"/>
        </w:rPr>
        <w:t>A Kormány a Klebelsberg Intézményfenntartó Központról szóló 202/2012. (VII.27.) Korm. rendelet 3. § (1) bekezdése c) pontjában az állami köznevelési közfeladat ellátásában fenntartóként részt vevő szervként, ennek keretében az állami fenntartású köznevelési intézmények (a továbbiakban: intézmény) fenntartói jogai és kötelezettségei gyakorlására 2013. január 1-jei hatállyal a KIK-et jelölte ki.</w:t>
      </w:r>
    </w:p>
    <w:p>
      <w:pPr>
        <w:pStyle w:val="style45"/>
        <w:spacing w:after="120" w:before="120"/>
        <w:jc w:val="both"/>
      </w:pPr>
      <w:r>
        <w:rPr/>
        <w:t>Az intézmény(eke)t a KIK működteti.</w:t>
      </w:r>
    </w:p>
    <w:p>
      <w:pPr>
        <w:pStyle w:val="style0"/>
        <w:spacing w:after="120" w:before="120"/>
        <w:jc w:val="both"/>
      </w:pPr>
      <w:r>
        <w:rPr>
          <w:b w:val="false"/>
        </w:rPr>
        <w:t xml:space="preserve">Az Nkt. 76.§ (5) bekezdés a) pontja, valamint köznevelési feladatot ellátó egyes önkormányzati fenntartású intézmények állami fenntartásba vételéről szóló 2012. évi CLXXXVIII. törvény (a továbbiakban: Törvény) 8.§ (1) bekezdés b) pontja alapján az Önkormányzat tulajdonában levő, az intézmény(ek) feladatainak ellátását szolgáló ingatlan és ingó vagyon – ideértve a taneszközöket, továbbá az intézmény(ek)ben levő eszközöket, felszereléseket –, a KIK ingyenes vagyonkezelésébe kerül. </w:t>
      </w:r>
    </w:p>
    <w:p>
      <w:pPr>
        <w:pStyle w:val="style0"/>
        <w:spacing w:after="120" w:before="120"/>
        <w:jc w:val="both"/>
      </w:pPr>
      <w:r>
        <w:rPr>
          <w:b w:val="false"/>
        </w:rPr>
        <w:t>A Felek a Törvény 13.§ (2) a) pontja alapján 2012. december 11-én átadás-átvételi megállapodást kötöttek, amelyben meghatározták a KIK ingyenes vagyonkezelésébe kerülő ingó és ingatlan vagyonelemek körét.</w:t>
      </w:r>
    </w:p>
    <w:p>
      <w:pPr>
        <w:pStyle w:val="style0"/>
        <w:spacing w:after="120" w:before="120"/>
        <w:jc w:val="both"/>
      </w:pPr>
      <w:r>
        <w:rPr>
          <w:b w:val="false"/>
        </w:rPr>
        <w:t>A szerződés tárgyát képező vagyonelemek vagyonkezelői joga gyakorlásának szabályait a Felek az alábbiak szerint állapítják meg:</w:t>
      </w:r>
    </w:p>
    <w:p>
      <w:pPr>
        <w:pStyle w:val="style45"/>
        <w:spacing w:after="240" w:before="240"/>
        <w:jc w:val="center"/>
      </w:pPr>
      <w:r>
        <w:rPr>
          <w:b/>
        </w:rPr>
        <w:t>A szerződés tárgya</w:t>
      </w:r>
    </w:p>
    <w:p>
      <w:pPr>
        <w:pStyle w:val="style0"/>
        <w:numPr>
          <w:ilvl w:val="0"/>
          <w:numId w:val="3"/>
        </w:numPr>
        <w:spacing w:after="120" w:before="120"/>
        <w:jc w:val="both"/>
      </w:pPr>
      <w:r>
        <w:rPr>
          <w:b w:val="false"/>
        </w:rPr>
        <w:t xml:space="preserve">Az Önkormányzat vagyonkezelésbe adja, a KIK vagyonkezelésbe veszi a Répcelak város, Csánig, Uraiújfalu, Vámoscsalád községek közös tulajdonát képező, a Móra Ferenc Általános Iskola és AMI székhelyén rendelkezésre álló 20/1 hrsz.-ú, 1077 m2 nagyságú, a 20/3 hrsz.-ú, 75 m2 nagyságú, a 20/4 hrsz.-ú, 122 m2 nagyságú ingatlanokat melyek az ingatlan-nyilvántartás szerinti hányadokkal osztottak, és a 20/5 hrsz.-ú, 1 ha 900 m2 nagyságú ingatlant, továbbá jelen szerződés 2. számú mellékleteként csatolt leltár adatai szerinti ingóvagyont. Vagyonkezelésbe adja még a 20/2 hrsz.-ú összesen 950 m2 alapterületű ingatlant, melyből jelen szerződés 1. számú mellékleteként csatolt tervrajzon megjelölt helyiségeket (természetben: konyha, étterem és kiszolgáló helyiségei) továbbra is használni kívánja, illetve nem adja vagyonkezelésbe az épületben található önálló bejáratú, és önálló közművekkel rendelkező 81 m2 nagyságú önkormányzati bérlakást. A lakás és a közös használatú helyiségek összesen 463 m2 nagyságúak. Átadásra kerül mindösszesen 1 ha 3043 m2 alapterületű ingatlan. </w:t>
      </w:r>
    </w:p>
    <w:p>
      <w:pPr>
        <w:pStyle w:val="style0"/>
        <w:numPr>
          <w:ilvl w:val="0"/>
          <w:numId w:val="3"/>
        </w:numPr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A KIK az ingatlanra vonatkozó vagyonkezelői jogát az ingatlan-nyilvántartásba bejegyezteti.</w:t>
      </w:r>
    </w:p>
    <w:p>
      <w:pPr>
        <w:pStyle w:val="style45"/>
        <w:spacing w:after="240" w:before="240"/>
        <w:jc w:val="center"/>
      </w:pPr>
      <w:r>
        <w:rPr>
          <w:b/>
        </w:rPr>
        <w:t>Felek Jogai és kötelezettségei</w:t>
      </w:r>
    </w:p>
    <w:p>
      <w:pPr>
        <w:pStyle w:val="style0"/>
        <w:numPr>
          <w:ilvl w:val="0"/>
          <w:numId w:val="3"/>
        </w:numPr>
        <w:spacing w:after="120" w:before="120"/>
        <w:jc w:val="both"/>
      </w:pPr>
      <w:r>
        <w:rPr>
          <w:b w:val="false"/>
        </w:rPr>
        <w:t>A KIK vagyonkezelésében levő ingatlant a Pedagógiai Programban, az intézmény(ek) szervezeti és működési szabályzatában, házirendjében meghatározott feladatok ellátásának zavarása nélkül, az ott meghatározott tanítási időn kívül, az Önkormányzat – a KIK-kel legalább 15 nappal korábban történt megállapodást követően – önkormányzati, egyéb helyi közösségi, kulturális és sportrendezvények lebonyolítása céljából térítésmentesen használja.  Felek megállapodnak abban, hogy a 20/1 hrsz.-ú – természetben: sportcsarnok és öltözők a hozzátartozó kiszolgáló helyiségekkel – ingyenes használatára a tulajdonosok, Répcelak Város Önkormányzata, Csánig, Uraiújfalu és Vámoscsalád községek önkormányzatai jogosultak az önkormányzat feladatellátásában megszervezésre kerülő közösségi, szabadidős és sportprogramok tekintetében. Az ingatlan vagyonkezelésbe adása során a közoktatási és köznevelési feladatok ellátása prioritást élvez. A sportcsarnok, öltözők és kiszolgáló helyiségek berendezési és felszerelési tárgyai a fentiek alapján az Átvevővel közös használatba kerülnek. A berendezési és felszerelési tárgyak leltározása megtörtént.</w:t>
      </w:r>
    </w:p>
    <w:p>
      <w:pPr>
        <w:pStyle w:val="style0"/>
        <w:numPr>
          <w:ilvl w:val="0"/>
          <w:numId w:val="3"/>
        </w:numPr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A KIK biztosítja, hogy az Önkormányzat az önkormányzati, helyi közösségi, kulturális és sport célú hirdetményeit az ingatlanban a közösen meghatározott helyen és módon, a KIK által meghatározott időtartamban kifüggesztheti. </w:t>
      </w:r>
    </w:p>
    <w:p>
      <w:pPr>
        <w:pStyle w:val="style0"/>
        <w:numPr>
          <w:ilvl w:val="0"/>
          <w:numId w:val="3"/>
        </w:numPr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rFonts w:ascii="Times" w:cs="Times" w:hAnsi="Times"/>
          <w:b w:val="false"/>
          <w:szCs w:val="24"/>
        </w:rPr>
        <w:t>A KIK-et a vagyonkezelésében levő vagyonnal kapcsolatban megilletik a tulajdonos jogai, és terhelik a tulajdonos kötelezettségei – ideértve a számvitelről szóló törvény szerinti könyvvezetési és beszámoló-készítési kötelezettséget is – azzal, hogy</w:t>
      </w:r>
    </w:p>
    <w:p>
      <w:pPr>
        <w:pStyle w:val="style0"/>
        <w:numPr>
          <w:ilvl w:val="0"/>
          <w:numId w:val="5"/>
        </w:numPr>
        <w:spacing w:after="120" w:before="120"/>
        <w:jc w:val="both"/>
      </w:pPr>
      <w:bookmarkStart w:id="1" w:name="pr172"/>
      <w:bookmarkEnd w:id="1"/>
      <w:r>
        <w:rPr>
          <w:b w:val="false"/>
        </w:rPr>
        <w:t>a vagyont nem idegenítheti el, 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>
      <w:pPr>
        <w:pStyle w:val="style0"/>
        <w:numPr>
          <w:ilvl w:val="0"/>
          <w:numId w:val="5"/>
        </w:numPr>
        <w:spacing w:after="120" w:before="120"/>
        <w:jc w:val="both"/>
      </w:pPr>
      <w:bookmarkStart w:id="2" w:name="pr173"/>
      <w:bookmarkEnd w:id="2"/>
      <w:r>
        <w:rPr>
          <w:b w:val="false"/>
        </w:rPr>
        <w:t>a vagyont biztosítékul nem adhatja,</w:t>
      </w:r>
    </w:p>
    <w:p>
      <w:pPr>
        <w:pStyle w:val="style0"/>
        <w:numPr>
          <w:ilvl w:val="0"/>
          <w:numId w:val="5"/>
        </w:numPr>
        <w:spacing w:after="120" w:before="120"/>
        <w:jc w:val="both"/>
      </w:pPr>
      <w:bookmarkStart w:id="3" w:name="pr174"/>
      <w:bookmarkEnd w:id="3"/>
      <w:r>
        <w:rPr>
          <w:b w:val="false"/>
        </w:rPr>
        <w:t>a vagyonon osztott tulajdont nem létesíthet,</w:t>
      </w:r>
    </w:p>
    <w:p>
      <w:pPr>
        <w:pStyle w:val="style0"/>
        <w:numPr>
          <w:ilvl w:val="0"/>
          <w:numId w:val="5"/>
        </w:numPr>
        <w:spacing w:after="120" w:before="120"/>
        <w:jc w:val="both"/>
      </w:pPr>
      <w:bookmarkStart w:id="4" w:name="pr175"/>
      <w:bookmarkEnd w:id="4"/>
      <w:r>
        <w:rPr>
          <w:b w:val="false"/>
        </w:rPr>
        <w:t>a vagyonkezelői jogot harmadik személyre nem ruházhatja át és nem terhelheti meg, valamint</w:t>
      </w:r>
    </w:p>
    <w:p>
      <w:pPr>
        <w:pStyle w:val="style0"/>
        <w:numPr>
          <w:ilvl w:val="0"/>
          <w:numId w:val="5"/>
        </w:numPr>
        <w:spacing w:after="120" w:before="120"/>
        <w:jc w:val="both"/>
      </w:pPr>
      <w:bookmarkStart w:id="5" w:name="pr176"/>
      <w:bookmarkEnd w:id="5"/>
      <w:r>
        <w:rPr>
          <w:b w:val="false"/>
        </w:rPr>
        <w:t>polgári jogi igényt megalapító, polgári jogi igényt eldöntő tulajdonosi hozzájárulást a vagyonkezelésében lévő vagyonra vonatkozóan hatósági és bírósági eljárásban sem adhat, kivéve a jogszabályon alapuló, továbbá az ingatlanra közérdekből külön jogszabályban feljogosított szervek javára alapított használati joghoz, vezetékjoghoz vagy ugyanezen</w:t>
      </w:r>
      <w:r>
        <w:rPr>
          <w:rFonts w:ascii="Times" w:cs="Times" w:hAnsi="Times"/>
          <w:szCs w:val="24"/>
        </w:rPr>
        <w:t xml:space="preserve"> </w:t>
      </w:r>
      <w:r>
        <w:rPr>
          <w:rFonts w:ascii="Times" w:cs="Times" w:hAnsi="Times"/>
          <w:b w:val="false"/>
          <w:szCs w:val="24"/>
        </w:rPr>
        <w:t>okokból alapított szolgalomhoz történő hozzájárulást.</w:t>
      </w:r>
    </w:p>
    <w:p>
      <w:pPr>
        <w:pStyle w:val="style0"/>
        <w:spacing w:after="120" w:before="120"/>
        <w:jc w:val="both"/>
      </w:pPr>
      <w:r>
        <w:rPr>
          <w:rFonts w:ascii="Times" w:cs="Times" w:hAnsi="Times"/>
          <w:b w:val="false"/>
          <w:szCs w:val="24"/>
        </w:rPr>
        <w:t>6.</w:t>
      </w:r>
    </w:p>
    <w:p>
      <w:pPr>
        <w:pStyle w:val="style52"/>
        <w:numPr>
          <w:ilvl w:val="0"/>
          <w:numId w:val="4"/>
        </w:numPr>
        <w:spacing w:after="120" w:before="120" w:line="100" w:lineRule="atLeast"/>
        <w:jc w:val="both"/>
      </w:pPr>
      <w:r>
        <w:rPr>
          <w:rFonts w:ascii="Times New Roman" w:hAnsi="Times New Roman"/>
          <w:sz w:val="24"/>
          <w:szCs w:val="24"/>
          <w:lang w:eastAsia="hu-HU"/>
        </w:rPr>
        <w:t>A KIK a vagyonkezelésében levő vagyont a központi berendezésekkel és felszerelésekkel együtt rendeltetésszerűen, a vagyonkezelési szerződésnek, a rendes gazdálkodás szabályainak megfelelően</w:t>
      </w:r>
      <w:r>
        <w:rPr>
          <w:rFonts w:ascii="Times New Roman" w:hAnsi="Times New Roman"/>
          <w:sz w:val="24"/>
          <w:szCs w:val="24"/>
        </w:rPr>
        <w:t xml:space="preserve">, a vagyonra vonatkozó biztonsági előírások betartásával, </w:t>
      </w:r>
      <w:r>
        <w:rPr>
          <w:rFonts w:ascii="Times New Roman" w:hAnsi="Times New Roman"/>
          <w:sz w:val="24"/>
          <w:szCs w:val="24"/>
          <w:lang w:eastAsia="hu-HU"/>
        </w:rPr>
        <w:t>a közvagyont használó személytől elvárható gondossággal</w:t>
      </w:r>
      <w:r>
        <w:rPr>
          <w:rFonts w:ascii="Times New Roman" w:hAnsi="Times New Roman"/>
          <w:sz w:val="24"/>
          <w:szCs w:val="24"/>
        </w:rPr>
        <w:t xml:space="preserve"> mások jogainak és törvényes érdekeinek sérelme nélkül jogosult birtokolni, használni, szedni hasznait. </w:t>
      </w:r>
    </w:p>
    <w:p>
      <w:pPr>
        <w:pStyle w:val="style52"/>
        <w:numPr>
          <w:ilvl w:val="0"/>
          <w:numId w:val="4"/>
        </w:numPr>
        <w:spacing w:after="120" w:before="12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A KIK a vagyonkezelésében levő és a közös használatra szolgáló vagyont, a központi berendezésekkel és felszerelésekkel együtt </w:t>
      </w:r>
      <w:r>
        <w:rPr>
          <w:rFonts w:ascii="Times New Roman" w:hAnsi="Times New Roman"/>
          <w:sz w:val="24"/>
          <w:szCs w:val="24"/>
          <w:lang w:eastAsia="hu-HU"/>
        </w:rPr>
        <w:t>rendeltetésszerűen, a vagyonkezelési szerződésnek, a rendes gazdálkodás szabályainak megfelelően</w:t>
      </w:r>
      <w:r>
        <w:rPr>
          <w:rFonts w:ascii="Times New Roman" w:hAnsi="Times New Roman"/>
          <w:sz w:val="24"/>
          <w:szCs w:val="24"/>
        </w:rPr>
        <w:t xml:space="preserve">, a vagyonra vonatkozó biztonsági előírások betartásával, </w:t>
      </w:r>
      <w:r>
        <w:rPr>
          <w:rFonts w:ascii="Times New Roman" w:hAnsi="Times New Roman"/>
          <w:sz w:val="24"/>
          <w:szCs w:val="24"/>
          <w:lang w:eastAsia="hu-HU"/>
        </w:rPr>
        <w:t>a közvagyont használó személytől elvárható gondossággal</w:t>
      </w:r>
      <w:r>
        <w:rPr>
          <w:rFonts w:ascii="Times New Roman" w:hAnsi="Times New Roman"/>
          <w:sz w:val="24"/>
          <w:szCs w:val="24"/>
        </w:rPr>
        <w:t xml:space="preserve"> mások jogainak és törvényes érdekeinek sérelme nélkül jogosult birtokolni, használni, szedni hasznait. </w:t>
      </w:r>
    </w:p>
    <w:p>
      <w:pPr>
        <w:pStyle w:val="style0"/>
        <w:spacing w:after="120" w:before="120"/>
        <w:jc w:val="both"/>
      </w:pPr>
      <w:r>
        <w:rPr>
          <w:b w:val="false"/>
          <w:szCs w:val="24"/>
        </w:rPr>
        <w:t xml:space="preserve">7.  Amennyiben a KIK a vagyonkezelésében levő vagyon hasznosítását másnak átengedi, a </w:t>
        <w:tab/>
        <w:t>használó magatartásáért, mint sajátjáért felel.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  <w:szCs w:val="24"/>
        </w:rPr>
        <w:t xml:space="preserve">8.  A KIK viseli a vagyonkezelésében levő vagyonnal </w:t>
      </w:r>
      <w:r>
        <w:rPr>
          <w:b w:val="false"/>
        </w:rPr>
        <w:t xml:space="preserve">összefüggő költségeket, közterheket, díjakat, gondoskodik a vagyonvédelemről.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9. A KIK felelős az ingatlannal kapcsolatban, a tűzvédelmi, munkavédelmi és környezetvédelmi törvényekben és egyéb kapcsolódó jogszabályokban foglaltak betartásáért és betartatásáért.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10. A KIK köteles teljesíteni a vagyonkezelésében levő vagyonnal kapcsolatban a jogszabályban, illetve a vagyonkezelési szerződésben előírt nyilvántartási, adatszolgáltatási, és elszámolási kötelezettséget.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rFonts w:ascii="Times" w:cs="Times" w:hAnsi="Times"/>
          <w:b w:val="false"/>
          <w:szCs w:val="24"/>
        </w:rPr>
        <w:t xml:space="preserve">11.  </w:t>
      </w:r>
      <w:r>
        <w:rPr>
          <w:b w:val="false"/>
          <w:szCs w:val="24"/>
        </w:rPr>
        <w:t>A vagyonkezelésbe adott vagyont, annak értékét és változásait a KIK nyilvántartja. Az érték nyilvántartásától el lehet tekinteni, ha az adott vagyontárgy értéke természeténél, jellegénél fogva nem állapítható meg. A nyilvántartásnak tartalmaznia kell a vagyon elsődleges rendeltetése szerinti közfeladat megjelölését is. A nyilvántartási adatok - a minősített adat védelméről szóló törvény szerinti minősített adat kivételével - nyilvánosak.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12. A KIK a használatában lévő vagyont érintő lényeges változásokat, a változás bekövetkezésétől számított 5 napon belül köteles jelenteni az Önkormányzatnak.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13.  A KIK köteles az Önkormányzatot haladéktalanul értesíteni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 ha őt jogai gyakorlásában harmadik személy akadályozza.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14. A KIK köteles tűrni, hogy az Önkormányzat a veszély elhárítására, a kár következményeinek megszüntetésére a szükséges intézkedéseket megtegye.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15. Az értesítés elmaradása vagy késedelme miatt bekövetkezett kárt, illetve költségnövekedést a KIK köteles viselni.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16. A KIK felel minden olyan kárért, amely a rendeltetésellenes vagy szerződésellenes használat következménye. A nem rendeltetésszerű használat folytán keletkezett hibák kijavítása, károk megtérítése a KIK kötelezettsége függetlenül attól, hogy a bekövetkezett hiba, illetve kár alkalmazottjai, ügyfelei, az intézmény tanulói vagy az érdekkörében eljáró személy magatartására vezethető vissza. Nem terheli a KIK-et a kártérítési kötelezettség, ha bizonyítja, hogy úgy járt el, ahogy adott helyzetben a közvagyon használójától elvárható.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17. Az Önkormányzat a KIK-től követelheti a vagyonkezelésbe adott vagyon rendeltetés-, illetve szerződésellenes használatának megszüntetését. Ha a KIK a rendeltetés-, illetve szerződésellenes használatot – az Önkormányzat felhívása ellenére – tovább folytatja, az Önkormányzat kártérítést követelhet.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18. A KIK gondoskodik a vagyonkezelésében levő vagyon értékének, állagának megóvásáról, karbantartásáról, a szükséges felújítások, pótlások, cserék kivitelezési munkálatainak elvégzéséről, elvégeztetéséről így az ingatlanban levő központi berendezések, az ezekhez csatlakozó vezetékrendszerek munkaképes állapotának biztosításáról, az átvételkori állapotnak megfelelő szinten tartásáról.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19. A KIK a saját költségén az Önkormányzat előzetes írásbeli engedélye alapján jogosult</w:t>
      </w:r>
    </w:p>
    <w:p>
      <w:pPr>
        <w:pStyle w:val="style0"/>
        <w:numPr>
          <w:ilvl w:val="0"/>
          <w:numId w:val="6"/>
        </w:numPr>
        <w:spacing w:after="120" w:before="120"/>
      </w:pPr>
      <w:r>
        <w:rPr>
          <w:b w:val="false"/>
        </w:rPr>
        <w:t xml:space="preserve">a vagyonkezelésében levő ingatlant átalakítani, illetőleg a falak, a mennyezet, vagy a padlózat megbontásával, tárgyaknak azokhoz történő rögzítésével járó műveletet, </w:t>
      </w:r>
    </w:p>
    <w:p>
      <w:pPr>
        <w:pStyle w:val="style0"/>
        <w:numPr>
          <w:ilvl w:val="0"/>
          <w:numId w:val="6"/>
        </w:numPr>
        <w:spacing w:after="120" w:before="120"/>
      </w:pPr>
      <w:r>
        <w:rPr>
          <w:b w:val="false"/>
        </w:rPr>
        <w:t>az elszámolt értékcsökkentést meghaladó, annak értékét növelő beruházást, felújítást végezni.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20. A beruházás, felújítás értékét a KIK-nek bizonylatokkal kell igazolnia és azokról évente írásban be kell számolnia az Önkormányzatnak.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21. A KIK az ingatlanban riasztórendszert, telefonos és számítógépes hálózatot építhet ki emeletek összekötésével együtt. Erről előzetesen köteles az Önkormányzatot írásban tájékoztatni.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22. A KIK jogosult az ingatlant saját berendezéseivel ellátni, e berendezések felett szabadon rendelkezhet, és a szerződés megszűnése esetén ezeket saját tulajdonaként elszállíthatja, köteles azonban az eredeti állapotot saját költségén helyreállítani.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23. Az Önkormányzat az ingatlanban lévő, a KIK tulajdonát képező vagyontárgyakért felelősséget nem vállal. 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24.  A KIK vagyonkezelésébe adott, a köznevelési feladat ellátáshoz véglegesen feleslegessé vált vagyont – beleértve a rendeltetésszerű használat mellett elhasználódott vagy elavult eszközöket is – 20 napon belül köteles az Önkormányzat részére visszaadni, aki köteles azt visszavenni. A KIK a rendeltetésszerű használat mellett elhasználódott vagy elavult eszközök kivételével az egyéb vagyont rendeltetésszerű használatra alkalmas állapotban köteles visszaadni az Önkormányzatnak.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25.  Tulajdonosi ellenőrzés</w:t>
      </w:r>
    </w:p>
    <w:p>
      <w:pPr>
        <w:pStyle w:val="style0"/>
        <w:spacing w:after="120" w:before="120"/>
        <w:ind w:hanging="0" w:left="709" w:right="0"/>
        <w:jc w:val="both"/>
      </w:pPr>
      <w:bookmarkStart w:id="6" w:name="pr162"/>
      <w:bookmarkEnd w:id="6"/>
      <w:r>
        <w:rPr>
          <w:b w:val="false"/>
        </w:rPr>
        <w:t xml:space="preserve">Az Önkormányzat, mint tulajdonos évente legalább egy alkalommal, a nevelő-oktató munka, illetve a KIK működésének zavarása nélkül, előzetes értesítés alapján a vagyonkezelésbe adott önkormányzati vagyonnal való gazdálkodást, a vagyon rendeltetésszerű használatát. </w:t>
      </w:r>
    </w:p>
    <w:p>
      <w:pPr>
        <w:pStyle w:val="style0"/>
        <w:spacing w:after="120" w:before="120"/>
        <w:ind w:hanging="0" w:left="709" w:right="0"/>
        <w:jc w:val="both"/>
      </w:pPr>
      <w:r>
        <w:rPr>
          <w:b w:val="false"/>
        </w:rPr>
        <w:t>Az</w:t>
      </w:r>
      <w:r>
        <w:rPr/>
        <w:t xml:space="preserve"> </w:t>
      </w:r>
      <w:r>
        <w:rPr>
          <w:b w:val="false"/>
        </w:rPr>
        <w:t>ellenőrzés során az Önkormányzat képviselője jogosult</w:t>
      </w:r>
    </w:p>
    <w:p>
      <w:pPr>
        <w:pStyle w:val="style53"/>
        <w:spacing w:after="120" w:before="120"/>
      </w:pPr>
      <w:r>
        <w:rPr>
          <w:rFonts w:ascii="Times New Roman" w:hAnsi="Times New Roman"/>
          <w:iCs/>
          <w:color w:val="00000A"/>
          <w:lang w:val="hu-HU"/>
        </w:rPr>
        <w:t xml:space="preserve">a) </w:t>
      </w:r>
      <w:r>
        <w:rPr>
          <w:rFonts w:ascii="Times New Roman" w:hAnsi="Times New Roman"/>
          <w:color w:val="00000A"/>
          <w:lang w:val="hu-HU"/>
        </w:rPr>
        <w:t>a KIK használatában álló ingatlan területére, illetve KIK által használt irodai és egyéb célú helyiségeibe belépni és ott tartózkodni,</w:t>
      </w:r>
    </w:p>
    <w:p>
      <w:pPr>
        <w:pStyle w:val="style53"/>
        <w:spacing w:after="120" w:before="120"/>
      </w:pPr>
      <w:r>
        <w:rPr>
          <w:rFonts w:ascii="Times New Roman" w:hAnsi="Times New Roman"/>
          <w:iCs/>
          <w:color w:val="00000A"/>
          <w:lang w:val="hu-HU"/>
        </w:rPr>
        <w:t xml:space="preserve">b) </w:t>
      </w:r>
      <w:r>
        <w:rPr>
          <w:rFonts w:ascii="Times New Roman" w:hAnsi="Times New Roman"/>
          <w:color w:val="00000A"/>
          <w:lang w:val="hu-HU"/>
        </w:rPr>
        <w:t xml:space="preserve">az ellenőrzés tárgyához kapcsolódó iratokba és más dokumentumokba, elektronikus adathordozón tárolt adatokba – a külön jogszabályokban meghatározott adat- és titokvédelmi előírások betartásával – betekinteni, </w:t>
      </w:r>
    </w:p>
    <w:p>
      <w:pPr>
        <w:pStyle w:val="style53"/>
        <w:spacing w:after="120" w:before="120"/>
      </w:pPr>
      <w:r>
        <w:rPr>
          <w:rFonts w:ascii="Times New Roman" w:hAnsi="Times New Roman"/>
          <w:iCs/>
          <w:color w:val="00000A"/>
          <w:lang w:val="hu-HU"/>
        </w:rPr>
        <w:t xml:space="preserve">c) </w:t>
      </w:r>
      <w:r>
        <w:rPr>
          <w:rFonts w:ascii="Times New Roman" w:hAnsi="Times New Roman"/>
          <w:color w:val="00000A"/>
          <w:lang w:val="hu-HU"/>
        </w:rPr>
        <w:t>a KIK alkalmazottjától írásban vagy szóban felvilágosítást, információt kérni,</w:t>
      </w:r>
    </w:p>
    <w:p>
      <w:pPr>
        <w:pStyle w:val="style53"/>
        <w:spacing w:after="120" w:before="120"/>
      </w:pPr>
      <w:r>
        <w:rPr>
          <w:rFonts w:ascii="Times New Roman" w:hAnsi="Times New Roman"/>
          <w:color w:val="00000A"/>
          <w:lang w:val="hu-HU"/>
        </w:rPr>
        <w:t>d) az átadott ingó vagyontárgyak meglétét és állagát ellenőrizni.</w:t>
      </w:r>
    </w:p>
    <w:p>
      <w:pPr>
        <w:pStyle w:val="style0"/>
        <w:spacing w:after="120" w:before="120"/>
        <w:ind w:hanging="0" w:left="709" w:right="0"/>
        <w:jc w:val="both"/>
      </w:pPr>
      <w:r>
        <w:rPr>
          <w:b w:val="false"/>
          <w:szCs w:val="24"/>
        </w:rPr>
        <w:t>Az Önkormányzat az ellenőrzés megállapításairól értesíti a KIK-et, továbbá, amennyiben megállapításai annak hatáskörét érintik, az Állami Számvevőszéket is.</w:t>
      </w:r>
    </w:p>
    <w:p>
      <w:pPr>
        <w:pStyle w:val="style45"/>
        <w:spacing w:after="240" w:before="240"/>
        <w:jc w:val="center"/>
      </w:pPr>
      <w:r>
        <w:rPr>
          <w:b/>
        </w:rPr>
        <w:t xml:space="preserve">Működési költségek viselésének szabályai </w:t>
      </w:r>
    </w:p>
    <w:p>
      <w:pPr>
        <w:pStyle w:val="style0"/>
        <w:widowControl w:val="false"/>
        <w:tabs>
          <w:tab w:leader="none" w:pos="1417" w:val="left"/>
          <w:tab w:leader="none" w:pos="2138" w:val="left"/>
        </w:tabs>
        <w:spacing w:after="120" w:before="120"/>
        <w:ind w:hanging="709" w:left="709" w:right="0"/>
        <w:jc w:val="both"/>
      </w:pPr>
      <w:r>
        <w:rPr>
          <w:b w:val="false"/>
        </w:rPr>
        <w:t>26. Az 1. pontban jelölt hrsz.-ú ingatlanok közül a 20/2 hrsz.-ú ingatlan (természetben: általános iskola) része a napközis étkező, konyha és kiszolgáló helyiségei, valamint egy 81 m2 hasznos alapterületű önkormányzati bérlakás. A bérlakás nem érintett a vagyonkezelésbe adással. Az étkező és konyha használatára a tulajdonosi kör és a Százszorszép Óvodát fenntartó önkormányzatok, továbbá az iskolai gyermekétkeztetést igénybe vevő más önkormányzat a feladatellátás mértékéig tart igényt. A lakás, továbbá az étkező, konyha és kiszolgáló helyiségeinek megközelítése az intézmény közös használatú udvarán keresztül, ingyenesen történik. A lakás önálló gáz és elektromos főmérővel rendelkezik, a víz tekintetében az elszámolás almérő alapján történik.</w:t>
      </w:r>
    </w:p>
    <w:p>
      <w:pPr>
        <w:pStyle w:val="style0"/>
        <w:widowControl w:val="false"/>
        <w:tabs>
          <w:tab w:leader="none" w:pos="1417" w:val="left"/>
          <w:tab w:leader="none" w:pos="2138" w:val="left"/>
        </w:tabs>
        <w:spacing w:after="120" w:before="120"/>
        <w:ind w:hanging="709" w:left="709" w:right="0"/>
        <w:jc w:val="both"/>
      </w:pPr>
      <w:r>
        <w:rPr>
          <w:b w:val="false"/>
        </w:rPr>
        <w:tab/>
        <w:t>Felek megállapodnak abban, hogy a napközis étkező, konyha és kiszolgáló helyiségei tekintetében a közüzemi szolgáltatások szerződéseiben a KIK a szerződő fél, kivéve a gázüzemű konyhai főzőeszközök külön mérővel mért fogyasztása vonatkozásában, melyben a szerződéskötő fél Százszorszép Óvoda (9653 Répcelak, József A. u. 20.) A konyha a fentiekben jelölt fogyasztásmérő mellett az alábbi fogyasztásmérőkkel rendelkezik: víz főmérő és nem hitelesített almérő, villany főmérő és nem hitelesített almérő, az épületrész fűtése vonatkozásában a gázfogyasztás tekintetében külön gázóra nem áll rendelkezésre. Felek rögzítik, hogy a fogyasztásmérővel rendelkező közüzemi szolgáltatás tekintetében az elszámolás alapja az almérő által mutatott mérőállás szerinti elfogyasztott mennyiség. A fűtés esetében, mely mérővel nem rendelkező közüzemi szolgáltatás, az elszámolás alapja az épület légköbmétere, mely összesen 15.814,27 m3, ebből Önkormányzatra eső légtérfogat 1287 m3, azaz 8,14 %. Jelen megállapodás 3. számú melléklete rögzíti az étkező, konyha és kiszolgáló helyiségei fogyasztásmérőinek azonosító adatait (számát, megjelölését) és a mérőóra állását.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27.  A KIK a vagyonkezelésében levő ingatlan vagyon használatával kapcsolatos közüzemi díjaknak, az üzemeltetési költségeknek jelen megállapodás 26. pontjában felsorolt almérővel mért részét számlázza a Százszorszép Óvoda, az önkormányzati lakás vízfogyasztását a bérlő részére.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28.  A KIK az Önkormányzatra jutó költséget havonta utólag a tárgyhónapot követő hónap ötödik napjáig számlázza, amelyet az Önkormányzat a számla kézhezvételét követő 15 banki napon belül köteles a KIK bankszámlájára történő átutalással megfizetni. A fizetés késedelme esetén, a fizetési határnaptól a KIK-et a Ptk. szerinti késedelmi kamat illeti meg. </w:t>
      </w:r>
    </w:p>
    <w:p>
      <w:pPr>
        <w:pStyle w:val="style45"/>
        <w:spacing w:after="240" w:before="240"/>
        <w:jc w:val="center"/>
      </w:pPr>
      <w:r>
        <w:rPr>
          <w:b/>
        </w:rPr>
        <w:t>A szerződés megszűnése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29.  A szerződést Felek 2013. január 1-jétől határozatlan időtartamra kötik. A szerződés megszűnik, ha az állami köznevelési feladat ellátása az körülírt ingatlanban megszűnik.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  <w:color w:val="000000"/>
        </w:rPr>
        <w:t xml:space="preserve">30. A KIK a vagyonkezelői joga megszűnése esetén, a megszűnése napjától számított 20 napon belül köteles az ingatlant kiüríteni és azt rendeltetésszerű használatra alkalmas állapotban az Önkormányzat részére visszaadni.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31. Amennyiben a KIK az ingatlant az előírt határidőig nem hagyja el, az Önkormányzat jogosult a helyiségeket birtokba venni, a KIK a helyiségekben található ingóságairól két tanúval hitelesített leltárt készíteni, és a KIK-et az ingóságok 8 napon belüli elszállítására írásban felszólítani.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32. Amennyiben a KIK az írásbeli felszólítását követő 8 napon belül nem szállítja el ingóságait, az Önkormányzat jogosult a KIK-nek az ingatlanban lévő vagyontárgyait a KIK költségén elszállíttatni, és megfelelő helyen történő raktározásáról a KIK költségén gondoskodni.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33. A szerződés megszűnése esetén KIK cserehelyiségre igényt nem tarthat.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34. A szerződés megszűnése esetén a vagyonkezelői jognak az ingatlan-nyilvántartásból való törléséről a KIK köteles gondoskodni.</w:t>
      </w:r>
    </w:p>
    <w:p>
      <w:pPr>
        <w:pStyle w:val="style45"/>
        <w:spacing w:after="240" w:before="240"/>
        <w:jc w:val="center"/>
      </w:pPr>
      <w:r>
        <w:rPr>
          <w:b/>
        </w:rPr>
        <w:t>Egyéb rendelkezések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35. A szerződést a Felek írásban jogosultak módosítani vagy kiegészíteni. 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 xml:space="preserve">36. Kapcsolattartók kijelölése: Felek a működtetési feladatok, illetve a használat Önkormányzat által történő ellenőrzése során kapcsolattartóként az alábbi személyeket jelölik meg: Fülöp Ildikó óvodavezető, Százszorszép Óvoda, Répcelak, József A. u. 20. továbbá Szekeresné Szabó Krisztina gazdasági vezető Százszorszép Óvoda </w:t>
      </w:r>
    </w:p>
    <w:p>
      <w:pPr>
        <w:pStyle w:val="style0"/>
        <w:spacing w:after="0" w:before="0" w:line="100" w:lineRule="atLeast"/>
        <w:jc w:val="both"/>
      </w:pPr>
      <w:r>
        <w:rPr>
          <w:b w:val="false"/>
        </w:rPr>
        <w:tab/>
        <w:t>Telefonszám: 95/370-144</w:t>
      </w:r>
    </w:p>
    <w:p>
      <w:pPr>
        <w:pStyle w:val="style0"/>
        <w:spacing w:after="0" w:before="0" w:line="100" w:lineRule="atLeast"/>
        <w:jc w:val="both"/>
      </w:pPr>
      <w:r>
        <w:rPr>
          <w:b w:val="false"/>
        </w:rPr>
        <w:tab/>
        <w:t>KIK: Várkonyi Gyöngyi</w:t>
      </w:r>
    </w:p>
    <w:p>
      <w:pPr>
        <w:pStyle w:val="style0"/>
        <w:spacing w:after="0" w:before="0" w:line="100" w:lineRule="atLeast"/>
        <w:jc w:val="both"/>
      </w:pPr>
      <w:r>
        <w:rPr>
          <w:b w:val="false"/>
        </w:rPr>
        <w:tab/>
        <w:t>Sárvári Tankerületi igazgató</w:t>
      </w:r>
    </w:p>
    <w:p>
      <w:pPr>
        <w:pStyle w:val="style0"/>
        <w:spacing w:after="0" w:before="0" w:line="100" w:lineRule="atLeast"/>
        <w:jc w:val="both"/>
      </w:pPr>
      <w:r>
        <w:rPr>
          <w:b w:val="false"/>
        </w:rPr>
        <w:tab/>
        <w:t>06-30/405-4012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37. Felek megállapodnak abban, hogy a szerződésből adódó, vagy azzal kapcsolatban felmerülő vitákat vagy nézetkülönbségeket tárgyalások útján rendezik. Esetleges jogvitájukra az általános illetékességi szabályok irányadóak.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38. A szerződésre egyebekben a Ptk. előírásai az irányadók.</w:t>
      </w:r>
    </w:p>
    <w:p>
      <w:pPr>
        <w:pStyle w:val="style0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380" w:val="left"/>
          <w:tab w:leader="none" w:pos="7089" w:val="left"/>
          <w:tab w:leader="none" w:pos="7798" w:val="left"/>
          <w:tab w:leader="none" w:pos="8507" w:val="left"/>
        </w:tabs>
        <w:spacing w:after="120" w:before="120"/>
        <w:ind w:hanging="709" w:left="709" w:right="0"/>
        <w:jc w:val="both"/>
      </w:pPr>
      <w:r>
        <w:rPr>
          <w:b w:val="false"/>
        </w:rPr>
        <w:t>39. Szerződő Felek a szerződést együttesen elolvasták, és a közös értelmezést követően, mint akaratukkal mindenben megegyezőt, cégszerűen aláírták.</w:t>
      </w:r>
    </w:p>
    <w:p>
      <w:pPr>
        <w:pStyle w:val="style0"/>
        <w:spacing w:after="0" w:before="0" w:line="100" w:lineRule="atLeast"/>
        <w:jc w:val="both"/>
      </w:pPr>
      <w:r>
        <w:rPr>
          <w:b w:val="false"/>
        </w:rPr>
        <w:t>A szerződés a mellékleteivel együtt érvényes. Mellékletek: 4 db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50"/>
        <w:tabs>
          <w:tab w:leader="none" w:pos="709" w:val="left"/>
          <w:tab w:leader="dot" w:pos="4536" w:val="left"/>
        </w:tabs>
        <w:spacing w:after="0" w:before="0" w:line="100" w:lineRule="atLeast"/>
      </w:pPr>
      <w:r>
        <w:rPr>
          <w:bCs/>
        </w:rPr>
        <w:t xml:space="preserve">Kelt: </w:t>
        <w:tab/>
      </w:r>
    </w:p>
    <w:p>
      <w:pPr>
        <w:pStyle w:val="style50"/>
        <w:tabs>
          <w:tab w:leader="none" w:pos="709" w:val="left"/>
          <w:tab w:leader="dot" w:pos="4536" w:val="left"/>
        </w:tabs>
        <w:spacing w:after="0" w:before="0" w:line="100" w:lineRule="atLeast"/>
      </w:pPr>
      <w:r>
        <w:rPr/>
      </w:r>
    </w:p>
    <w:tbl>
      <w:tblPr>
        <w:jc w:val="left"/>
        <w:tblBorders/>
        <w:tblInd w:type="dxa" w:w="-10"/>
      </w:tblPr>
      <w:tblGrid>
        <w:gridCol w:w="4522"/>
        <w:gridCol w:w="4577"/>
      </w:tblGrid>
      <w:tr>
        <w:trPr>
          <w:cantSplit w:val="true"/>
        </w:trPr>
        <w:tc>
          <w:tcPr>
            <w:tcW w:type="dxa" w:w="452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0"/>
              <w:tabs>
                <w:tab w:leader="none" w:pos="709" w:val="left"/>
                <w:tab w:leader="dot" w:pos="4390" w:val="left"/>
              </w:tabs>
              <w:spacing w:after="120" w:before="0"/>
            </w:pPr>
            <w:r>
              <w:rPr/>
              <w:tab/>
            </w:r>
          </w:p>
          <w:p>
            <w:pPr>
              <w:pStyle w:val="style50"/>
              <w:spacing w:after="120" w:before="0"/>
              <w:jc w:val="center"/>
            </w:pPr>
            <w:r>
              <w:rPr>
                <w:b/>
              </w:rPr>
              <w:t>Önkormányzat</w:t>
            </w:r>
          </w:p>
        </w:tc>
        <w:tc>
          <w:tcPr>
            <w:tcW w:type="dxa" w:w="4577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0"/>
              <w:tabs>
                <w:tab w:leader="none" w:pos="709" w:val="left"/>
                <w:tab w:leader="dot" w:pos="4390" w:val="left"/>
              </w:tabs>
              <w:spacing w:after="120" w:before="0"/>
            </w:pPr>
            <w:r>
              <w:rPr/>
              <w:tab/>
            </w:r>
          </w:p>
          <w:p>
            <w:pPr>
              <w:pStyle w:val="style50"/>
              <w:spacing w:after="120" w:before="0"/>
              <w:jc w:val="center"/>
            </w:pPr>
            <w:r>
              <w:rPr>
                <w:b/>
              </w:rPr>
              <w:t>KIK</w:t>
            </w:r>
          </w:p>
        </w:tc>
      </w:tr>
      <w:tr>
        <w:trPr>
          <w:cantSplit w:val="true"/>
        </w:trPr>
        <w:tc>
          <w:tcPr>
            <w:tcW w:type="dxa" w:w="452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0"/>
              <w:spacing w:after="360" w:before="0"/>
              <w:jc w:val="left"/>
            </w:pPr>
            <w:r>
              <w:rPr/>
              <w:t>ellenjegyzem:</w:t>
            </w:r>
          </w:p>
          <w:p>
            <w:pPr>
              <w:pStyle w:val="style50"/>
              <w:tabs>
                <w:tab w:leader="none" w:pos="709" w:val="left"/>
                <w:tab w:leader="dot" w:pos="4390" w:val="left"/>
              </w:tabs>
              <w:spacing w:after="120" w:before="0"/>
            </w:pPr>
            <w:r>
              <w:rPr/>
              <w:tab/>
            </w:r>
          </w:p>
          <w:p>
            <w:pPr>
              <w:pStyle w:val="style50"/>
              <w:spacing w:after="120" w:before="0"/>
              <w:jc w:val="center"/>
            </w:pPr>
            <w:r>
              <w:rPr>
                <w:b/>
              </w:rPr>
              <w:t>Önkormányzat</w:t>
            </w:r>
          </w:p>
          <w:p>
            <w:pPr>
              <w:pStyle w:val="style50"/>
              <w:spacing w:after="120" w:before="0"/>
              <w:jc w:val="center"/>
            </w:pPr>
            <w:r>
              <w:rPr/>
            </w:r>
          </w:p>
        </w:tc>
        <w:tc>
          <w:tcPr>
            <w:tcW w:type="dxa" w:w="4577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0"/>
              <w:spacing w:after="360" w:before="0"/>
              <w:jc w:val="left"/>
            </w:pPr>
            <w:r>
              <w:rPr/>
              <w:t>ellenjegyzem:</w:t>
            </w:r>
          </w:p>
          <w:p>
            <w:pPr>
              <w:pStyle w:val="style50"/>
              <w:tabs>
                <w:tab w:leader="none" w:pos="709" w:val="left"/>
                <w:tab w:leader="dot" w:pos="4390" w:val="left"/>
              </w:tabs>
              <w:spacing w:after="120" w:before="0"/>
            </w:pPr>
            <w:r>
              <w:rPr/>
              <w:tab/>
            </w:r>
          </w:p>
          <w:p>
            <w:pPr>
              <w:pStyle w:val="style50"/>
              <w:spacing w:after="120" w:before="0"/>
              <w:jc w:val="center"/>
            </w:pPr>
            <w:r>
              <w:rPr>
                <w:b/>
              </w:rPr>
              <w:t>KIK</w:t>
            </w:r>
          </w:p>
        </w:tc>
      </w:tr>
    </w:tbl>
    <w:p>
      <w:pPr>
        <w:sectPr>
          <w:type w:val="nextPage"/>
          <w:pgSz w:h="16838" w:w="11906"/>
          <w:pgMar w:bottom="709" w:footer="0" w:gutter="0" w:header="0" w:left="1418" w:right="1418" w:top="1361"/>
          <w:pgNumType w:fmt="decimal"/>
          <w:formProt w:val="false"/>
          <w:titlePg/>
          <w:textDirection w:val="lrTb"/>
          <w:docGrid w:charSpace="-6145" w:linePitch="240" w:type="default"/>
        </w:sectPr>
      </w:pP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100" w:lineRule="atLeast"/>
      </w:pPr>
      <w:r>
        <w:rPr/>
      </w:r>
    </w:p>
    <w:p>
      <w:pPr>
        <w:sectPr>
          <w:type w:val="continuous"/>
          <w:pgSz w:h="16838" w:w="11906"/>
          <w:pgMar w:bottom="709" w:footer="0" w:gutter="0" w:header="0" w:left="1418" w:right="1418" w:top="1361"/>
          <w:formProt w:val="false"/>
          <w:textDirection w:val="lrTb"/>
          <w:docGrid w:charSpace="-6145" w:linePitch="240" w:type="default"/>
        </w:sectPr>
      </w:pPr>
    </w:p>
    <w:sectPr>
      <w:type w:val="continuous"/>
      <w:pgSz w:h="16838" w:w="11906"/>
      <w:pgMar w:bottom="709" w:footer="0" w:gutter="0" w:header="0" w:left="1418" w:right="1418" w:top="1361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pos="360" w:val="num"/>
        </w:tabs>
        <w:ind w:hanging="360" w:left="720"/>
      </w:pPr>
      <w:rPr>
        <w:sz w:val="24"/>
        <w:i w:val="false"/>
        <w:b w:val="false"/>
      </w:rPr>
    </w:lvl>
    <w:lvl w:ilvl="1">
      <w:start w:val="1"/>
      <w:numFmt w:val="lowerLetter"/>
      <w:lvlText w:val="%2)"/>
      <w:lvlJc w:val="left"/>
      <w:pPr>
        <w:ind w:hanging="360" w:left="1080"/>
      </w:pPr>
      <w:rPr/>
    </w:lvl>
    <w:lvl w:ilvl="2">
      <w:start w:val="1"/>
      <w:numFmt w:val="lowerRoman"/>
      <w:lvlText w:val="%2.%3."/>
      <w:lvlJc w:val="right"/>
      <w:pPr>
        <w:ind w:hanging="180" w:left="1800"/>
      </w:pPr>
      <w:rPr/>
    </w:lvl>
    <w:lvl w:ilvl="3">
      <w:start w:val="1"/>
      <w:numFmt w:val="decimal"/>
      <w:lvlText w:val="%2.%3.%4."/>
      <w:lvlJc w:val="left"/>
      <w:pPr>
        <w:ind w:hanging="360" w:left="2520"/>
      </w:pPr>
      <w:rPr/>
    </w:lvl>
    <w:lvl w:ilvl="4">
      <w:start w:val="1"/>
      <w:numFmt w:val="lowerLetter"/>
      <w:lvlText w:val="%2.%3.%4.%5."/>
      <w:lvlJc w:val="left"/>
      <w:pPr>
        <w:ind w:hanging="360" w:left="3240"/>
      </w:pPr>
      <w:rPr/>
    </w:lvl>
    <w:lvl w:ilvl="5">
      <w:start w:val="1"/>
      <w:numFmt w:val="lowerRoman"/>
      <w:lvlText w:val="%2.%3.%4.%5.%6."/>
      <w:lvlJc w:val="right"/>
      <w:pPr>
        <w:ind w:hanging="180" w:left="3960"/>
      </w:pPr>
      <w:rPr/>
    </w:lvl>
    <w:lvl w:ilvl="6">
      <w:start w:val="1"/>
      <w:numFmt w:val="decimal"/>
      <w:lvlText w:val="%2.%3.%4.%5.%6.%7."/>
      <w:lvlJc w:val="left"/>
      <w:pPr>
        <w:ind w:hanging="360" w:left="4680"/>
      </w:pPr>
      <w:rPr/>
    </w:lvl>
    <w:lvl w:ilvl="7">
      <w:start w:val="1"/>
      <w:numFmt w:val="lowerLetter"/>
      <w:lvlText w:val="%2.%3.%4.%5.%6.%7.%8."/>
      <w:lvlJc w:val="left"/>
      <w:pPr>
        <w:ind w:hanging="360" w:left="5400"/>
      </w:pPr>
      <w:rPr/>
    </w:lvl>
    <w:lvl w:ilvl="8">
      <w:start w:val="1"/>
      <w:numFmt w:val="lowerRoman"/>
      <w:lvlText w:val="%2.%3.%4.%5.%6.%7.%8.%9."/>
      <w:lvlJc w:val="right"/>
      <w:pPr>
        <w:ind w:hanging="180" w:left="612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hanging="360" w:left="1069"/>
      </w:pPr>
      <w:rPr/>
    </w:lvl>
    <w:lvl w:ilvl="1">
      <w:start w:val="1"/>
      <w:numFmt w:val="lowerLetter"/>
      <w:lvlText w:val="%2."/>
      <w:lvlJc w:val="left"/>
      <w:pPr>
        <w:ind w:hanging="360" w:left="1789"/>
      </w:pPr>
      <w:rPr/>
    </w:lvl>
    <w:lvl w:ilvl="2">
      <w:start w:val="1"/>
      <w:numFmt w:val="lowerRoman"/>
      <w:lvlText w:val="%2.%3."/>
      <w:lvlJc w:val="right"/>
      <w:pPr>
        <w:ind w:hanging="180" w:left="2509"/>
      </w:pPr>
      <w:rPr/>
    </w:lvl>
    <w:lvl w:ilvl="3">
      <w:start w:val="1"/>
      <w:numFmt w:val="decimal"/>
      <w:lvlText w:val="%2.%3.%4."/>
      <w:lvlJc w:val="left"/>
      <w:pPr>
        <w:ind w:hanging="360" w:left="3229"/>
      </w:pPr>
      <w:rPr/>
    </w:lvl>
    <w:lvl w:ilvl="4">
      <w:start w:val="1"/>
      <w:numFmt w:val="lowerLetter"/>
      <w:lvlText w:val="%2.%3.%4.%5."/>
      <w:lvlJc w:val="left"/>
      <w:pPr>
        <w:ind w:hanging="360" w:left="3949"/>
      </w:pPr>
      <w:rPr/>
    </w:lvl>
    <w:lvl w:ilvl="5">
      <w:start w:val="1"/>
      <w:numFmt w:val="lowerRoman"/>
      <w:lvlText w:val="%2.%3.%4.%5.%6."/>
      <w:lvlJc w:val="right"/>
      <w:pPr>
        <w:ind w:hanging="180" w:left="4669"/>
      </w:pPr>
      <w:rPr/>
    </w:lvl>
    <w:lvl w:ilvl="6">
      <w:start w:val="1"/>
      <w:numFmt w:val="decimal"/>
      <w:lvlText w:val="%2.%3.%4.%5.%6.%7."/>
      <w:lvlJc w:val="left"/>
      <w:pPr>
        <w:ind w:hanging="360" w:left="5389"/>
      </w:pPr>
      <w:rPr/>
    </w:lvl>
    <w:lvl w:ilvl="7">
      <w:start w:val="1"/>
      <w:numFmt w:val="lowerLetter"/>
      <w:lvlText w:val="%2.%3.%4.%5.%6.%7.%8."/>
      <w:lvlJc w:val="left"/>
      <w:pPr>
        <w:ind w:hanging="360" w:left="6109"/>
      </w:pPr>
      <w:rPr/>
    </w:lvl>
    <w:lvl w:ilvl="8">
      <w:start w:val="1"/>
      <w:numFmt w:val="lowerRoman"/>
      <w:lvlText w:val="%2.%3.%4.%5.%6.%7.%8.%9."/>
      <w:lvlJc w:val="right"/>
      <w:pPr>
        <w:ind w:hanging="180" w:left="6829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hanging="360" w:left="1069"/>
      </w:pPr>
      <w:rPr/>
    </w:lvl>
    <w:lvl w:ilvl="1">
      <w:start w:val="1"/>
      <w:numFmt w:val="lowerLetter"/>
      <w:lvlText w:val="%2."/>
      <w:lvlJc w:val="left"/>
      <w:pPr>
        <w:ind w:hanging="360" w:left="1789"/>
      </w:pPr>
      <w:rPr/>
    </w:lvl>
    <w:lvl w:ilvl="2">
      <w:start w:val="1"/>
      <w:numFmt w:val="lowerRoman"/>
      <w:lvlText w:val="%2.%3."/>
      <w:lvlJc w:val="right"/>
      <w:pPr>
        <w:ind w:hanging="180" w:left="2509"/>
      </w:pPr>
      <w:rPr/>
    </w:lvl>
    <w:lvl w:ilvl="3">
      <w:start w:val="1"/>
      <w:numFmt w:val="decimal"/>
      <w:lvlText w:val="%2.%3.%4."/>
      <w:lvlJc w:val="left"/>
      <w:pPr>
        <w:ind w:hanging="360" w:left="3229"/>
      </w:pPr>
      <w:rPr/>
    </w:lvl>
    <w:lvl w:ilvl="4">
      <w:start w:val="1"/>
      <w:numFmt w:val="lowerLetter"/>
      <w:lvlText w:val="%2.%3.%4.%5."/>
      <w:lvlJc w:val="left"/>
      <w:pPr>
        <w:ind w:hanging="360" w:left="3949"/>
      </w:pPr>
      <w:rPr/>
    </w:lvl>
    <w:lvl w:ilvl="5">
      <w:start w:val="1"/>
      <w:numFmt w:val="lowerRoman"/>
      <w:lvlText w:val="%2.%3.%4.%5.%6."/>
      <w:lvlJc w:val="right"/>
      <w:pPr>
        <w:ind w:hanging="180" w:left="4669"/>
      </w:pPr>
      <w:rPr/>
    </w:lvl>
    <w:lvl w:ilvl="6">
      <w:start w:val="1"/>
      <w:numFmt w:val="decimal"/>
      <w:lvlText w:val="%2.%3.%4.%5.%6.%7."/>
      <w:lvlJc w:val="left"/>
      <w:pPr>
        <w:ind w:hanging="360" w:left="5389"/>
      </w:pPr>
      <w:rPr/>
    </w:lvl>
    <w:lvl w:ilvl="7">
      <w:start w:val="1"/>
      <w:numFmt w:val="lowerLetter"/>
      <w:lvlText w:val="%2.%3.%4.%5.%6.%7.%8."/>
      <w:lvlJc w:val="left"/>
      <w:pPr>
        <w:ind w:hanging="360" w:left="6109"/>
      </w:pPr>
      <w:rPr/>
    </w:lvl>
    <w:lvl w:ilvl="8">
      <w:start w:val="1"/>
      <w:numFmt w:val="lowerRoman"/>
      <w:lvlText w:val="%2.%3.%4.%5.%6.%7.%8.%9."/>
      <w:lvlJc w:val="right"/>
      <w:pPr>
        <w:ind w:hanging="180" w:left="6829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hanging="360" w:left="1069"/>
      </w:pPr>
      <w:rPr/>
    </w:lvl>
    <w:lvl w:ilvl="1">
      <w:start w:val="1"/>
      <w:numFmt w:val="lowerLetter"/>
      <w:lvlText w:val="%2."/>
      <w:lvlJc w:val="left"/>
      <w:pPr>
        <w:ind w:hanging="360" w:left="1789"/>
      </w:pPr>
      <w:rPr/>
    </w:lvl>
    <w:lvl w:ilvl="2">
      <w:start w:val="1"/>
      <w:numFmt w:val="lowerRoman"/>
      <w:lvlText w:val="%2.%3."/>
      <w:lvlJc w:val="right"/>
      <w:pPr>
        <w:ind w:hanging="180" w:left="2509"/>
      </w:pPr>
      <w:rPr/>
    </w:lvl>
    <w:lvl w:ilvl="3">
      <w:start w:val="1"/>
      <w:numFmt w:val="decimal"/>
      <w:lvlText w:val="%2.%3.%4."/>
      <w:lvlJc w:val="left"/>
      <w:pPr>
        <w:ind w:hanging="360" w:left="3229"/>
      </w:pPr>
      <w:rPr/>
    </w:lvl>
    <w:lvl w:ilvl="4">
      <w:start w:val="1"/>
      <w:numFmt w:val="lowerLetter"/>
      <w:lvlText w:val="%2.%3.%4.%5."/>
      <w:lvlJc w:val="left"/>
      <w:pPr>
        <w:ind w:hanging="360" w:left="3949"/>
      </w:pPr>
      <w:rPr/>
    </w:lvl>
    <w:lvl w:ilvl="5">
      <w:start w:val="1"/>
      <w:numFmt w:val="lowerRoman"/>
      <w:lvlText w:val="%2.%3.%4.%5.%6."/>
      <w:lvlJc w:val="right"/>
      <w:pPr>
        <w:ind w:hanging="180" w:left="4669"/>
      </w:pPr>
      <w:rPr/>
    </w:lvl>
    <w:lvl w:ilvl="6">
      <w:start w:val="1"/>
      <w:numFmt w:val="decimal"/>
      <w:lvlText w:val="%2.%3.%4.%5.%6.%7."/>
      <w:lvlJc w:val="left"/>
      <w:pPr>
        <w:ind w:hanging="360" w:left="5389"/>
      </w:pPr>
      <w:rPr/>
    </w:lvl>
    <w:lvl w:ilvl="7">
      <w:start w:val="1"/>
      <w:numFmt w:val="lowerLetter"/>
      <w:lvlText w:val="%2.%3.%4.%5.%6.%7.%8."/>
      <w:lvlJc w:val="left"/>
      <w:pPr>
        <w:ind w:hanging="360" w:left="6109"/>
      </w:pPr>
      <w:rPr/>
    </w:lvl>
    <w:lvl w:ilvl="8">
      <w:start w:val="1"/>
      <w:numFmt w:val="lowerRoman"/>
      <w:lvlText w:val="%2.%3.%4.%5.%6.%7.%8.%9."/>
      <w:lvlJc w:val="right"/>
      <w:pPr>
        <w:ind w:hanging="180" w:left="682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spacing w:after="200" w:before="0" w:line="100" w:lineRule="atLeast"/>
    </w:pPr>
    <w:rPr>
      <w:rFonts w:ascii="Times New Roman" w:cs="Times New Roman" w:eastAsia="Times New Roman" w:hAnsi="Times New Roman"/>
      <w:b/>
      <w:color w:val="00000A"/>
      <w:sz w:val="24"/>
      <w:szCs w:val="20"/>
      <w:lang w:bidi="ar-SA" w:eastAsia="hu-HU" w:val="hu-HU"/>
    </w:rPr>
  </w:style>
  <w:style w:styleId="style1" w:type="paragraph">
    <w:name w:val="Címsor 1"/>
    <w:basedOn w:val="style44"/>
    <w:next w:val="style45"/>
    <w:pPr/>
    <w:rPr>
      <w:bCs/>
      <w:sz w:val="32"/>
      <w:szCs w:val="32"/>
    </w:rPr>
  </w:style>
  <w:style w:styleId="style3" w:type="paragraph">
    <w:name w:val="Címsor 3"/>
    <w:basedOn w:val="style0"/>
    <w:next w:val="style45"/>
    <w:pPr>
      <w:keepNext/>
      <w:numPr>
        <w:ilvl w:val="2"/>
        <w:numId w:val="1"/>
      </w:numPr>
      <w:tabs>
        <w:tab w:leader="none" w:pos="1440" w:val="left"/>
      </w:tabs>
      <w:jc w:val="center"/>
      <w:outlineLvl w:val="2"/>
    </w:pPr>
    <w:rPr>
      <w:bCs/>
      <w:caps/>
      <w:sz w:val="40"/>
      <w:szCs w:val="28"/>
    </w:rPr>
  </w:style>
  <w:style w:styleId="style6" w:type="paragraph">
    <w:name w:val="Címsor 6"/>
    <w:basedOn w:val="style0"/>
    <w:next w:val="style45"/>
    <w:pPr>
      <w:keepNext/>
      <w:numPr>
        <w:ilvl w:val="5"/>
        <w:numId w:val="1"/>
      </w:numPr>
      <w:tabs>
        <w:tab w:leader="none" w:pos="2304" w:val="left"/>
      </w:tabs>
      <w:jc w:val="center"/>
      <w:outlineLvl w:val="5"/>
    </w:pPr>
    <w:rPr>
      <w:bCs/>
      <w:sz w:val="32"/>
      <w:szCs w:val="15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Heading 3 Char"/>
    <w:basedOn w:val="style15"/>
    <w:next w:val="style17"/>
    <w:rPr>
      <w:rFonts w:ascii="Cambria" w:cs="Times New Roman" w:hAnsi="Cambria"/>
      <w:b/>
      <w:bCs/>
      <w:sz w:val="26"/>
      <w:szCs w:val="26"/>
    </w:rPr>
  </w:style>
  <w:style w:styleId="style18" w:type="character">
    <w:name w:val="Heading 6 Char"/>
    <w:basedOn w:val="style15"/>
    <w:next w:val="style18"/>
    <w:rPr>
      <w:rFonts w:ascii="Calibri" w:cs="Times New Roman" w:hAnsi="Calibri"/>
      <w:b/>
      <w:bCs/>
    </w:rPr>
  </w:style>
  <w:style w:styleId="style19" w:type="character">
    <w:name w:val="Címsor 3 Char"/>
    <w:basedOn w:val="style15"/>
    <w:next w:val="style19"/>
    <w:rPr>
      <w:rFonts w:ascii="Times New Roman" w:cs="Times New Roman" w:hAnsi="Times New Roman"/>
      <w:b/>
      <w:caps/>
      <w:sz w:val="20"/>
      <w:szCs w:val="20"/>
      <w:lang w:eastAsia="hu-HU"/>
    </w:rPr>
  </w:style>
  <w:style w:styleId="style20" w:type="character">
    <w:name w:val="Címsor 6 Char"/>
    <w:basedOn w:val="style15"/>
    <w:next w:val="style20"/>
    <w:rPr>
      <w:rFonts w:ascii="Times New Roman" w:cs="Times New Roman" w:hAnsi="Times New Roman"/>
      <w:b/>
      <w:sz w:val="20"/>
      <w:szCs w:val="20"/>
      <w:lang w:eastAsia="hu-HU"/>
    </w:rPr>
  </w:style>
  <w:style w:styleId="style21" w:type="character">
    <w:name w:val="Élőláb Char"/>
    <w:basedOn w:val="style15"/>
    <w:next w:val="style21"/>
    <w:rPr>
      <w:rFonts w:ascii="Times New Roman" w:cs="Times New Roman" w:hAnsi="Times New Roman"/>
      <w:b/>
      <w:sz w:val="20"/>
      <w:szCs w:val="20"/>
      <w:lang w:eastAsia="hu-HU"/>
    </w:rPr>
  </w:style>
  <w:style w:styleId="style22" w:type="character">
    <w:name w:val="Szövegtörzs Char"/>
    <w:basedOn w:val="style15"/>
    <w:next w:val="style22"/>
    <w:rPr>
      <w:rFonts w:ascii="Times New Roman" w:cs="Times New Roman" w:hAnsi="Times New Roman"/>
      <w:sz w:val="20"/>
      <w:szCs w:val="20"/>
      <w:lang w:eastAsia="hu-HU"/>
    </w:rPr>
  </w:style>
  <w:style w:styleId="style23" w:type="character">
    <w:name w:val="Bekezdés2 Char"/>
    <w:next w:val="style23"/>
    <w:rPr>
      <w:rFonts w:ascii="Calibri" w:hAnsi="Calibri"/>
      <w:color w:val="000000"/>
      <w:sz w:val="20"/>
      <w:lang w:val="en-US"/>
    </w:rPr>
  </w:style>
  <w:style w:styleId="style24" w:type="character">
    <w:name w:val="ListLabel 1"/>
    <w:next w:val="style24"/>
    <w:rPr>
      <w:sz w:val="24"/>
    </w:rPr>
  </w:style>
  <w:style w:styleId="style25" w:type="character">
    <w:name w:val="ListLabel 2"/>
    <w:next w:val="style25"/>
    <w:rPr/>
  </w:style>
  <w:style w:styleId="style26" w:type="character">
    <w:name w:val="ListLabel 3"/>
    <w:next w:val="style26"/>
    <w:rPr>
      <w:sz w:val="24"/>
    </w:rPr>
  </w:style>
  <w:style w:styleId="style27" w:type="character">
    <w:name w:val="Felsorolásjel"/>
    <w:next w:val="style27"/>
    <w:rPr>
      <w:rFonts w:ascii="OpenSymbol" w:cs="OpenSymbol" w:eastAsia="OpenSymbol" w:hAnsi="OpenSymbol"/>
    </w:rPr>
  </w:style>
  <w:style w:styleId="style28" w:type="character">
    <w:name w:val="ListLabel 4"/>
    <w:next w:val="style28"/>
    <w:rPr>
      <w:sz w:val="24"/>
    </w:rPr>
  </w:style>
  <w:style w:styleId="style29" w:type="character">
    <w:name w:val="ListLabel 5"/>
    <w:next w:val="style29"/>
    <w:rPr>
      <w:sz w:val="24"/>
    </w:rPr>
  </w:style>
  <w:style w:styleId="style30" w:type="character">
    <w:name w:val="ListLabel 6"/>
    <w:next w:val="style30"/>
    <w:rPr>
      <w:sz w:val="24"/>
    </w:rPr>
  </w:style>
  <w:style w:styleId="style31" w:type="character">
    <w:name w:val="Body Text Char"/>
    <w:basedOn w:val="style15"/>
    <w:next w:val="style31"/>
    <w:rPr>
      <w:rFonts w:cs="Times New Roman"/>
    </w:rPr>
  </w:style>
  <w:style w:styleId="style32" w:type="character">
    <w:name w:val="Footer Char"/>
    <w:basedOn w:val="style15"/>
    <w:next w:val="style32"/>
    <w:rPr>
      <w:rFonts w:cs="Times New Roman"/>
    </w:rPr>
  </w:style>
  <w:style w:styleId="style33" w:type="character">
    <w:name w:val="ListLabel 7"/>
    <w:next w:val="style33"/>
    <w:rPr/>
  </w:style>
  <w:style w:styleId="style34" w:type="character">
    <w:name w:val="ListLabel 8"/>
    <w:next w:val="style34"/>
    <w:rPr>
      <w:sz w:val="24"/>
    </w:rPr>
  </w:style>
  <w:style w:styleId="style35" w:type="character">
    <w:name w:val="ListLabel 9"/>
    <w:next w:val="style35"/>
    <w:rPr>
      <w:sz w:val="24"/>
    </w:rPr>
  </w:style>
  <w:style w:styleId="style36" w:type="character">
    <w:name w:val="ListLabel 10"/>
    <w:next w:val="style36"/>
    <w:rPr>
      <w:sz w:val="24"/>
    </w:rPr>
  </w:style>
  <w:style w:styleId="style37" w:type="character">
    <w:name w:val="ListLabel 11"/>
    <w:next w:val="style37"/>
    <w:rPr>
      <w:sz w:val="24"/>
    </w:rPr>
  </w:style>
  <w:style w:styleId="style38" w:type="character">
    <w:name w:val="ListLabel 12"/>
    <w:next w:val="style38"/>
    <w:rPr>
      <w:sz w:val="24"/>
    </w:rPr>
  </w:style>
  <w:style w:styleId="style39" w:type="character">
    <w:name w:val="ListLabel 13"/>
    <w:next w:val="style39"/>
    <w:rPr>
      <w:sz w:val="24"/>
    </w:rPr>
  </w:style>
  <w:style w:styleId="style40" w:type="character">
    <w:name w:val="Body Text Char1"/>
    <w:basedOn w:val="style15"/>
    <w:next w:val="style40"/>
    <w:rPr/>
  </w:style>
  <w:style w:styleId="style41" w:type="character">
    <w:name w:val="Footer Char1"/>
    <w:basedOn w:val="style15"/>
    <w:next w:val="style41"/>
    <w:rPr/>
  </w:style>
  <w:style w:styleId="style42" w:type="character">
    <w:name w:val="ListLabel 14"/>
    <w:next w:val="style42"/>
    <w:rPr>
      <w:rFonts w:cs="Times New Roman"/>
    </w:rPr>
  </w:style>
  <w:style w:styleId="style43" w:type="character">
    <w:name w:val="ListLabel 15"/>
    <w:next w:val="style43"/>
    <w:rPr>
      <w:rFonts w:cs="Times New Roman"/>
      <w:b w:val="false"/>
      <w:i w:val="false"/>
      <w:sz w:val="24"/>
    </w:rPr>
  </w:style>
  <w:style w:styleId="style44" w:type="paragraph">
    <w:name w:val="Címsor"/>
    <w:basedOn w:val="style0"/>
    <w:next w:val="style4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5" w:type="paragraph">
    <w:name w:val="Szövegtörzs"/>
    <w:basedOn w:val="style0"/>
    <w:next w:val="style45"/>
    <w:pPr>
      <w:spacing w:after="120" w:before="0"/>
    </w:pPr>
    <w:rPr>
      <w:b w:val="false"/>
    </w:rPr>
  </w:style>
  <w:style w:styleId="style46" w:type="paragraph">
    <w:name w:val="Lista"/>
    <w:basedOn w:val="style45"/>
    <w:next w:val="style46"/>
    <w:pPr/>
    <w:rPr>
      <w:rFonts w:cs="Mangal"/>
    </w:rPr>
  </w:style>
  <w:style w:styleId="style47" w:type="paragraph">
    <w:name w:val="Felirat"/>
    <w:basedOn w:val="style0"/>
    <w:next w:val="style4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8" w:type="paragraph">
    <w:name w:val="Tárgymutató"/>
    <w:basedOn w:val="style0"/>
    <w:next w:val="style48"/>
    <w:pPr>
      <w:suppressLineNumbers/>
    </w:pPr>
    <w:rPr>
      <w:rFonts w:cs="Mangal"/>
    </w:rPr>
  </w:style>
  <w:style w:styleId="style49" w:type="paragraph">
    <w:name w:val="Élőláb"/>
    <w:basedOn w:val="style0"/>
    <w:next w:val="style49"/>
    <w:pPr>
      <w:suppressLineNumbers/>
      <w:tabs>
        <w:tab w:leader="none" w:pos="4819" w:val="center"/>
        <w:tab w:leader="none" w:pos="9071" w:val="right"/>
      </w:tabs>
    </w:pPr>
    <w:rPr/>
  </w:style>
  <w:style w:styleId="style50" w:type="paragraph">
    <w:name w:val="Body Text 21"/>
    <w:basedOn w:val="style0"/>
    <w:next w:val="style50"/>
    <w:pPr>
      <w:tabs>
        <w:tab w:leader="none" w:pos="709" w:val="left"/>
      </w:tabs>
      <w:jc w:val="both"/>
    </w:pPr>
    <w:rPr>
      <w:b w:val="false"/>
    </w:rPr>
  </w:style>
  <w:style w:styleId="style51" w:type="paragraph">
    <w:name w:val="Szövegtörzs behúzással 21"/>
    <w:basedOn w:val="style0"/>
    <w:next w:val="style51"/>
    <w:pPr>
      <w:ind w:hanging="709" w:left="709" w:right="0"/>
      <w:jc w:val="both"/>
    </w:pPr>
    <w:rPr>
      <w:b w:val="false"/>
    </w:rPr>
  </w:style>
  <w:style w:styleId="style52" w:type="paragraph">
    <w:name w:val="Listaszerű bekezdés1"/>
    <w:basedOn w:val="style0"/>
    <w:next w:val="style52"/>
    <w:pPr>
      <w:spacing w:line="276" w:lineRule="auto"/>
      <w:ind w:hanging="0" w:left="720" w:right="0"/>
    </w:pPr>
    <w:rPr>
      <w:rFonts w:ascii="Calibri" w:hAnsi="Calibri"/>
      <w:b w:val="false"/>
      <w:sz w:val="22"/>
      <w:szCs w:val="22"/>
      <w:lang w:eastAsia="en-US"/>
    </w:rPr>
  </w:style>
  <w:style w:styleId="style53" w:type="paragraph">
    <w:name w:val="Bekezdés2"/>
    <w:basedOn w:val="style0"/>
    <w:next w:val="style53"/>
    <w:pPr>
      <w:ind w:hanging="0" w:left="709" w:right="0"/>
      <w:jc w:val="both"/>
    </w:pPr>
    <w:rPr>
      <w:rFonts w:ascii="Calibri" w:hAnsi="Calibri"/>
      <w:b w:val="false"/>
      <w:color w:val="000000"/>
      <w:lang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2013-01-02T13:12:00.00Z</dcterms:created>
  <dc:creator>Vass Zoltán dr.</dc:creator>
  <cp:lastModifiedBy>user</cp:lastModifiedBy>
  <cp:lastPrinted>2013-01-25T08:29:00.00Z</cp:lastPrinted>
  <dcterms:modified xsi:type="dcterms:W3CDTF">2013-01-25T07:47:00.00Z</dcterms:modified>
  <cp:revision>8</cp:revision>
</cp:coreProperties>
</file>