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DA89" w14:textId="4E7D26E4" w:rsidR="006D1DB3" w:rsidRDefault="006D1DB3" w:rsidP="006D1DB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Répcelak Város Önkormányzata Képviselő-testületének </w:t>
      </w:r>
      <w:r>
        <w:rPr>
          <w:b/>
          <w:bCs/>
        </w:rPr>
        <w:t>11</w:t>
      </w:r>
      <w:r>
        <w:rPr>
          <w:b/>
          <w:bCs/>
        </w:rPr>
        <w:t>/2022. (</w:t>
      </w:r>
      <w:r>
        <w:rPr>
          <w:b/>
          <w:bCs/>
        </w:rPr>
        <w:t>V.26.</w:t>
      </w:r>
      <w:r>
        <w:rPr>
          <w:b/>
          <w:bCs/>
        </w:rPr>
        <w:t>) önkormányzati rendelete a helyi vízgazdálkodási hatósági jogkörbe tartozó szennyvízelvezetéshez kapcsolódó talajterhelési díjjal kapcsolatos adatszolgáltatás és eljárási szabályokról és a Környezetvédelmi Alapról</w:t>
      </w:r>
    </w:p>
    <w:p w14:paraId="01077ABD" w14:textId="77777777" w:rsidR="006D1DB3" w:rsidRDefault="006D1DB3" w:rsidP="006D1DB3">
      <w:pPr>
        <w:pStyle w:val="Szvegtrzs"/>
        <w:spacing w:before="220" w:after="0" w:line="240" w:lineRule="auto"/>
        <w:jc w:val="both"/>
      </w:pPr>
      <w:r>
        <w:t>Répcelak Város Önkormányzatának Képviselő-testülete a környezetterhelési díjról szóló 2003. évi LXXXIX. törvény 21/A. § (2) és a 26. §. (4) bekezdésében, a környezet védelmének általános szabályairól szóló 1995. évi LIII. törvény 58. §-</w:t>
      </w:r>
      <w:proofErr w:type="spellStart"/>
      <w:r>
        <w:t>ában</w:t>
      </w:r>
      <w:proofErr w:type="spellEnd"/>
      <w:r>
        <w:t xml:space="preserve"> kapott felhatalmazás alapján, az Alaptörvény 32. cikk (1) bekezdés a) pontjában, valamint Magyarország helyi önkormányzatairól szóló 2011. évi CLXXXIX. törvény 13. § (1) bekezdés 11. pontjában meghatározott feladatkörében eljárva a következőket rendeli el:</w:t>
      </w:r>
    </w:p>
    <w:p w14:paraId="16FC4448" w14:textId="77777777" w:rsidR="006D1DB3" w:rsidRDefault="006D1DB3" w:rsidP="006D1DB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talajterhelési díj bevallása, megfizetése</w:t>
      </w:r>
    </w:p>
    <w:p w14:paraId="66D44AA8" w14:textId="77777777" w:rsidR="006D1DB3" w:rsidRDefault="006D1DB3" w:rsidP="006D1D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94105D4" w14:textId="77777777" w:rsidR="006D1DB3" w:rsidRDefault="006D1DB3" w:rsidP="006D1DB3">
      <w:pPr>
        <w:pStyle w:val="Szvegtrzs"/>
        <w:spacing w:after="0" w:line="240" w:lineRule="auto"/>
        <w:jc w:val="both"/>
      </w:pPr>
      <w:r>
        <w:t>(1) A helyi vízgazdálkodási hatósági jogkörbe tartozó szennyvízelhelyezéshez kapcsolódó talajterhelési díjat a kibocsátónak az erre a célra szolgáló, 1. melléklet szerinti nyomtatványon kell megállapítani, bevallani.</w:t>
      </w:r>
    </w:p>
    <w:p w14:paraId="4E8982A9" w14:textId="77777777" w:rsidR="006D1DB3" w:rsidRDefault="006D1DB3" w:rsidP="006D1DB3">
      <w:pPr>
        <w:pStyle w:val="Szvegtrzs"/>
        <w:spacing w:before="240" w:after="0" w:line="240" w:lineRule="auto"/>
        <w:jc w:val="both"/>
      </w:pPr>
      <w:r>
        <w:t>(2) A kibocsátó talajterhelési díj fizetési kötelezettsége azzal a nappal megszűnik, amely napon:</w:t>
      </w:r>
    </w:p>
    <w:p w14:paraId="0C6675EC" w14:textId="77777777" w:rsidR="006D1DB3" w:rsidRDefault="006D1DB3" w:rsidP="006D1D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vízszolgáltatási szolgáltatás igénybevétele a vízszolgáltató igazolása szerint megszűnt,</w:t>
      </w:r>
    </w:p>
    <w:p w14:paraId="51C6A11F" w14:textId="77777777" w:rsidR="006D1DB3" w:rsidRDefault="006D1DB3" w:rsidP="006D1D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kibocsátó a műszakilag rendelkezésre álló közcsatornára ráköt és azt a szolgáltató igazolja.</w:t>
      </w:r>
    </w:p>
    <w:p w14:paraId="4C1FF98E" w14:textId="77777777" w:rsidR="006D1DB3" w:rsidRDefault="006D1DB3" w:rsidP="006D1DB3">
      <w:pPr>
        <w:pStyle w:val="Szvegtrzs"/>
        <w:spacing w:before="240" w:after="0" w:line="240" w:lineRule="auto"/>
        <w:jc w:val="both"/>
      </w:pPr>
      <w:r>
        <w:t>(3) A fizetési kötelezettséget a kibocsátónak átutalási megbízással, vagy belföldi postautalványon kell teljesíteni Répcelak Város Önkormányzatának 72600115-15001052 számú talajterhelési díj beszedési számlájára.</w:t>
      </w:r>
    </w:p>
    <w:p w14:paraId="01B58785" w14:textId="77777777" w:rsidR="006D1DB3" w:rsidRDefault="006D1DB3" w:rsidP="006D1DB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Díjmentesség</w:t>
      </w:r>
    </w:p>
    <w:p w14:paraId="2C1C9F02" w14:textId="77777777" w:rsidR="006D1DB3" w:rsidRDefault="006D1DB3" w:rsidP="006D1D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10CD137" w14:textId="77777777" w:rsidR="006D1DB3" w:rsidRDefault="006D1DB3" w:rsidP="006D1DB3">
      <w:pPr>
        <w:pStyle w:val="Szvegtrzs"/>
        <w:spacing w:after="0" w:line="240" w:lineRule="auto"/>
        <w:jc w:val="both"/>
      </w:pPr>
      <w:r>
        <w:t xml:space="preserve">(1) Mentes a talajterhelési díj megfizetése alól az a lakossági díjfizetésre kötelezett, akinek a háztartásában az egy főre jutó jövedelem nem haladja meg az öregségi nyugdíj mindenkori legkisebb összegének 150 %-át, </w:t>
      </w:r>
      <w:proofErr w:type="spellStart"/>
      <w:r>
        <w:t>egyedülélő</w:t>
      </w:r>
      <w:proofErr w:type="spellEnd"/>
      <w:r>
        <w:t xml:space="preserve"> esetében a 200 %-át. A jövedelem számításnál irányadó időszak a havonta mérhető jövedelmeknél a bevallás benyújtását megelőző 3 hónap, egyéb jövedelmeknél a bevallás benyújtását megelőző egy év. A díjmentesség a talajterhelési díj bevallás benyújtásával érvényesíthető. A bevallás benyújtásakor a jövedelemigazolásokat csatolni szükséges.</w:t>
      </w:r>
    </w:p>
    <w:p w14:paraId="43C31262" w14:textId="77777777" w:rsidR="006D1DB3" w:rsidRDefault="006D1DB3" w:rsidP="006D1DB3">
      <w:pPr>
        <w:pStyle w:val="Szvegtrzs"/>
        <w:spacing w:before="240" w:after="0" w:line="240" w:lineRule="auto"/>
        <w:jc w:val="both"/>
      </w:pPr>
      <w:r>
        <w:t>(2) Mentes a talajterhelési díj megfizetése alól az a kibocsátó, aki a vételezett vízmennyiséget olyan csatornázható felhasználási helyen használja fel, ahol az ingatlanon e-napló alapján új lakóépület építését kezdték meg, az épület elkészültéről hatósági bizonyítvánnyal még nem rendelkezik és a vízvételezési lehetőséget kizárólag egy kerti kifolyó (csap) biztosítja. A mentesség az épület használatbavételéről kiállított hatósági bizonyítvány kiadásáig illeti meg a kibocsátót. A mentesség igénybevételéhez csatolni kell az építési tevékenység bejelentéséről szóló igazolást.</w:t>
      </w:r>
    </w:p>
    <w:p w14:paraId="2DA5068E" w14:textId="77777777" w:rsidR="006D1DB3" w:rsidRDefault="006D1DB3" w:rsidP="006D1DB3">
      <w:pPr>
        <w:pStyle w:val="Szvegtrzs"/>
        <w:spacing w:before="240" w:after="0" w:line="240" w:lineRule="auto"/>
        <w:jc w:val="both"/>
      </w:pPr>
      <w:r>
        <w:lastRenderedPageBreak/>
        <w:t>(3) Mentes a talajterhelési díj megfizetése alól az a kibocsátó, aki a vételezett vízmennyiséget műszakilag mentesített felhasználási helyen használja fel.</w:t>
      </w:r>
    </w:p>
    <w:p w14:paraId="2EF93DF8" w14:textId="77777777" w:rsidR="006D1DB3" w:rsidRDefault="006D1DB3" w:rsidP="006D1DB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Környezetvédelmi alap</w:t>
      </w:r>
    </w:p>
    <w:p w14:paraId="2ACB1867" w14:textId="77777777" w:rsidR="006D1DB3" w:rsidRDefault="006D1DB3" w:rsidP="006D1D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C7401EE" w14:textId="77777777" w:rsidR="006D1DB3" w:rsidRDefault="006D1DB3" w:rsidP="006D1DB3">
      <w:pPr>
        <w:pStyle w:val="Szvegtrzs"/>
        <w:spacing w:after="0" w:line="240" w:lineRule="auto"/>
        <w:jc w:val="both"/>
      </w:pPr>
      <w:r>
        <w:t>Répcelak Város Önkormányzata a környezetvédelmi feladatai megoldásának elősegítése érdekében önkormányzati Környezetvédelmi Alapot hoz létre.</w:t>
      </w:r>
    </w:p>
    <w:p w14:paraId="197AF17D" w14:textId="77777777" w:rsidR="006D1DB3" w:rsidRDefault="006D1DB3" w:rsidP="006D1DB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Adatszolgáltatási és eljárási szabályok</w:t>
      </w:r>
    </w:p>
    <w:p w14:paraId="1C8EFCB6" w14:textId="77777777" w:rsidR="006D1DB3" w:rsidRDefault="006D1DB3" w:rsidP="006D1D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481A3B7" w14:textId="77777777" w:rsidR="006D1DB3" w:rsidRDefault="006D1DB3" w:rsidP="006D1DB3">
      <w:pPr>
        <w:pStyle w:val="Szvegtrzs"/>
        <w:spacing w:after="0" w:line="240" w:lineRule="auto"/>
        <w:jc w:val="both"/>
      </w:pPr>
      <w:r>
        <w:t>(1) Az önkormányzat részére a települési szennyvízhálózat üzemeltetője a kibocsátó azonosítása és ellenőrzése érdekében tárgyévet követő év február 28. napjáig adatot szolgáltat a kibocsátók köréről, a kibocsátók tárgyévi vízfogyasztásáról, korrigálva a locsolási kedvezmény mennyiségével, valamint az ivóvízvezeték meghibásodása következtében elszivárgott vízmennyiséggel.</w:t>
      </w:r>
      <w:r>
        <w:tab/>
        <w:t xml:space="preserve"> </w:t>
      </w:r>
    </w:p>
    <w:p w14:paraId="6C7275E6" w14:textId="77777777" w:rsidR="006D1DB3" w:rsidRDefault="006D1DB3" w:rsidP="006D1DB3">
      <w:pPr>
        <w:pStyle w:val="Szvegtrzs"/>
        <w:spacing w:before="240" w:after="0" w:line="240" w:lineRule="auto"/>
        <w:jc w:val="both"/>
      </w:pPr>
      <w:r>
        <w:t>(2) A talajterhelési díj megállapításával összefüggő személyes adatokat a kibocsátó azonosítására, a bevallások ellenőrzésére használhatja fel az önkormányzati adóhatóság.</w:t>
      </w:r>
      <w:r>
        <w:tab/>
        <w:t xml:space="preserve"> </w:t>
      </w:r>
    </w:p>
    <w:p w14:paraId="7E21F143" w14:textId="77777777" w:rsidR="006D1DB3" w:rsidRDefault="006D1DB3" w:rsidP="006D1DB3">
      <w:pPr>
        <w:pStyle w:val="Szvegtrzs"/>
        <w:spacing w:before="240" w:after="0" w:line="240" w:lineRule="auto"/>
        <w:jc w:val="both"/>
      </w:pPr>
      <w:r>
        <w:t>(3) A talajterhelési díj fizetésére kötelezett kibocsátókról, valamint a talajterhelési díj fizetésére vonatkozó díjkedvezményben részesülő személyekről az önkormányzati adóhatóság nyilvántartást vezet.</w:t>
      </w:r>
    </w:p>
    <w:p w14:paraId="77318927" w14:textId="77777777" w:rsidR="006D1DB3" w:rsidRDefault="006D1DB3" w:rsidP="006D1DB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Ellenőrzési szabályok</w:t>
      </w:r>
    </w:p>
    <w:p w14:paraId="42679A13" w14:textId="77777777" w:rsidR="006D1DB3" w:rsidRDefault="006D1DB3" w:rsidP="006D1D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B8E9CF4" w14:textId="77777777" w:rsidR="006D1DB3" w:rsidRDefault="006D1DB3" w:rsidP="006D1DB3">
      <w:pPr>
        <w:pStyle w:val="Szvegtrzs"/>
        <w:spacing w:after="0" w:line="240" w:lineRule="auto"/>
        <w:jc w:val="both"/>
      </w:pPr>
      <w:r>
        <w:t>(1) Az önkormányzati adóhatóság ellenőrizheti a kibocsátók által benyújtott bevallások valódiságát. Az ellenőrzések során először az adatszolgáltatásra kötelezett szolgáltató által rendelkezésre bocsátott adatokat veti össze a kibocsátók bevallásával</w:t>
      </w:r>
    </w:p>
    <w:p w14:paraId="4927EC25" w14:textId="77777777" w:rsidR="006D1DB3" w:rsidRDefault="006D1DB3" w:rsidP="006D1DB3">
      <w:pPr>
        <w:pStyle w:val="Szvegtrzs"/>
        <w:spacing w:before="240" w:after="0" w:line="240" w:lineRule="auto"/>
        <w:jc w:val="both"/>
      </w:pPr>
      <w:r>
        <w:t>(2) Az adóhatóság ellenőrizheti azt, hogy a kibocsátók eleget tettek-e bevallási, díj-megállapítási és díjfizetési kötelezettségüknek.</w:t>
      </w:r>
    </w:p>
    <w:p w14:paraId="1B9B276D" w14:textId="77777777" w:rsidR="006D1DB3" w:rsidRDefault="006D1DB3" w:rsidP="006D1DB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Értelmező rendelkezések</w:t>
      </w:r>
    </w:p>
    <w:p w14:paraId="2A444E3A" w14:textId="77777777" w:rsidR="006D1DB3" w:rsidRDefault="006D1DB3" w:rsidP="006D1D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979C171" w14:textId="77777777" w:rsidR="006D1DB3" w:rsidRDefault="006D1DB3" w:rsidP="006D1DB3">
      <w:pPr>
        <w:pStyle w:val="Szvegtrzs"/>
        <w:spacing w:after="0" w:line="240" w:lineRule="auto"/>
        <w:jc w:val="both"/>
      </w:pPr>
      <w:r>
        <w:t>E rendelet alkalmazásában:</w:t>
      </w:r>
    </w:p>
    <w:p w14:paraId="6EFED2A1" w14:textId="77777777" w:rsidR="006D1DB3" w:rsidRDefault="006D1DB3" w:rsidP="006D1D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</w:r>
      <w:r>
        <w:rPr>
          <w:b/>
          <w:bCs/>
        </w:rPr>
        <w:t>Kibocsátó:</w:t>
      </w:r>
      <w:r>
        <w:t xml:space="preserve"> az 1995. évi LIII. törvény 2. § (2) bekezdésére és a 2003. évi LXXXIX. törvény 2. §-ára figyelemmel minden természetes személy, jogi személy és jogi személyiséggel nem rendelkező szervezet, aki a műszakilag rendelkezésre álló közcsatornára nem köt rá és a helyi vízgazdálkodási hatósági engedélyezés alapján szennyvíz-elhelyezést – ideértve az egyedi zárt szennyvíztározót is – alkalmaz.</w:t>
      </w:r>
    </w:p>
    <w:p w14:paraId="40E36EBD" w14:textId="77777777" w:rsidR="006D1DB3" w:rsidRDefault="006D1DB3" w:rsidP="006D1D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</w:r>
      <w:r>
        <w:rPr>
          <w:b/>
          <w:bCs/>
        </w:rPr>
        <w:t>Műszakilag rendelkezésre álló közcsatorna:</w:t>
      </w:r>
      <w:r>
        <w:t xml:space="preserve"> amely lehetővé teszi – műszaki kialakításánál, elhelyezkedésénél fogva – a rácsatlakozást.</w:t>
      </w:r>
    </w:p>
    <w:p w14:paraId="701C1310" w14:textId="77777777" w:rsidR="006D1DB3" w:rsidRDefault="006D1DB3" w:rsidP="006D1D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</w:r>
      <w:r>
        <w:rPr>
          <w:b/>
          <w:bCs/>
        </w:rPr>
        <w:t>Jövedelem</w:t>
      </w:r>
      <w:r>
        <w:t>: a szociális igazgatásról és szociális ellátásokról szóló 1993. évi III. törvény 4. § (1) bekezdés a) pontjában meghatározottak szerint.</w:t>
      </w:r>
    </w:p>
    <w:p w14:paraId="001434D1" w14:textId="77777777" w:rsidR="006D1DB3" w:rsidRDefault="006D1DB3" w:rsidP="006D1D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4.</w:t>
      </w:r>
      <w:r>
        <w:tab/>
      </w:r>
      <w:r>
        <w:rPr>
          <w:b/>
          <w:bCs/>
        </w:rPr>
        <w:t>Család:</w:t>
      </w:r>
      <w:r>
        <w:t xml:space="preserve"> egy háztartásban életvitelszerűen </w:t>
      </w:r>
      <w:proofErr w:type="spellStart"/>
      <w:r>
        <w:t>együttlakó</w:t>
      </w:r>
      <w:proofErr w:type="spellEnd"/>
      <w:r>
        <w:t xml:space="preserve"> közeli hozzátartozók.</w:t>
      </w:r>
    </w:p>
    <w:p w14:paraId="223AEDE6" w14:textId="77777777" w:rsidR="006D1DB3" w:rsidRDefault="006D1DB3" w:rsidP="006D1D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</w:r>
      <w:r>
        <w:rPr>
          <w:b/>
          <w:bCs/>
        </w:rPr>
        <w:t>Háztartás</w:t>
      </w:r>
      <w:r>
        <w:t xml:space="preserve">: az egy lakásban életvitelszerűen </w:t>
      </w:r>
      <w:proofErr w:type="spellStart"/>
      <w:r>
        <w:t>együttlakó</w:t>
      </w:r>
      <w:proofErr w:type="spellEnd"/>
      <w:r>
        <w:t xml:space="preserve"> személyek.</w:t>
      </w:r>
    </w:p>
    <w:p w14:paraId="49C55E55" w14:textId="77777777" w:rsidR="006D1DB3" w:rsidRDefault="006D1DB3" w:rsidP="006D1D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</w:r>
      <w:proofErr w:type="spellStart"/>
      <w:r>
        <w:rPr>
          <w:b/>
          <w:bCs/>
        </w:rPr>
        <w:t>Egyedülélő</w:t>
      </w:r>
      <w:proofErr w:type="spellEnd"/>
      <w:r>
        <w:rPr>
          <w:b/>
          <w:bCs/>
        </w:rPr>
        <w:t>:</w:t>
      </w:r>
      <w:r>
        <w:t xml:space="preserve"> az a személy, aki egyszemélyes háztartásban lakik.</w:t>
      </w:r>
    </w:p>
    <w:p w14:paraId="33C0B8D3" w14:textId="77777777" w:rsidR="006D1DB3" w:rsidRDefault="006D1DB3" w:rsidP="006D1D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</w:r>
      <w:r>
        <w:rPr>
          <w:b/>
          <w:bCs/>
        </w:rPr>
        <w:t>Műszakilag mentesített felhasználási helynek minősül az ingatlan:</w:t>
      </w:r>
    </w:p>
    <w:p w14:paraId="037F373F" w14:textId="77777777" w:rsidR="006D1DB3" w:rsidRDefault="006D1DB3" w:rsidP="006D1DB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a)</w:t>
      </w:r>
      <w:r>
        <w:tab/>
        <w:t xml:space="preserve">ha a műszakilag rendelkezésre álló közcsatorna és a szolgáltatási pont között létesítendő gravitációs bekötő vezeték esetén - a tisztító műtárgytól a gerincvezetékhez történő csatlakoztatás – kiépítési hosszának szükséglete a 10 </w:t>
      </w:r>
      <w:proofErr w:type="spellStart"/>
      <w:r>
        <w:t>fm</w:t>
      </w:r>
      <w:proofErr w:type="spellEnd"/>
      <w:r>
        <w:t>-t vagy a kivitelezési költsége a nettó 400.000 Ft-ot meghaladja, vagy</w:t>
      </w:r>
    </w:p>
    <w:p w14:paraId="42770F07" w14:textId="77777777" w:rsidR="006D1DB3" w:rsidRDefault="006D1DB3" w:rsidP="006D1DB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b)</w:t>
      </w:r>
      <w:r>
        <w:tab/>
        <w:t>ha a műszakilag rendelkezésre álló közcsatorna és a szolgáltatási pont között létesítendő kényszer-</w:t>
      </w:r>
      <w:proofErr w:type="spellStart"/>
      <w:r>
        <w:t>áramoltatású</w:t>
      </w:r>
      <w:proofErr w:type="spellEnd"/>
      <w:r>
        <w:t xml:space="preserve"> bekötés esetén a házi beemelő műtárgy, valamint a befogadó közüzemű csatorna között létesítendő nyomóvezeték kiépítési hosszának igénye a 10 </w:t>
      </w:r>
      <w:proofErr w:type="spellStart"/>
      <w:r>
        <w:t>fm</w:t>
      </w:r>
      <w:proofErr w:type="spellEnd"/>
      <w:r>
        <w:t>-t vagy a kivitelezési költsége a nettó 400.000 Ft-ot meghaladja, vagy</w:t>
      </w:r>
    </w:p>
    <w:p w14:paraId="6C8860A6" w14:textId="77777777" w:rsidR="006D1DB3" w:rsidRDefault="006D1DB3" w:rsidP="006D1DB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c)</w:t>
      </w:r>
      <w:r>
        <w:tab/>
        <w:t>amely előtt az üzemelő közcsatorna kényszer-áramoltatási rendszerű.</w:t>
      </w:r>
    </w:p>
    <w:p w14:paraId="46F0A9BB" w14:textId="77777777" w:rsidR="006D1DB3" w:rsidRDefault="006D1DB3" w:rsidP="006D1D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</w:r>
      <w:r>
        <w:rPr>
          <w:b/>
          <w:bCs/>
        </w:rPr>
        <w:t>Csatornázható felhasználási hely:</w:t>
      </w:r>
      <w:r>
        <w:t xml:space="preserve"> az az ingatlan, amely nincs rákötve a műszakilag rendelkezésre álló közcsatornára és nem minősül műszakilag mentesített felhasználási helynek.</w:t>
      </w:r>
    </w:p>
    <w:p w14:paraId="19AC344B" w14:textId="77777777" w:rsidR="006D1DB3" w:rsidRDefault="006D1DB3" w:rsidP="006D1DB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Záró rendelkezések</w:t>
      </w:r>
    </w:p>
    <w:p w14:paraId="7E5ECE0D" w14:textId="77777777" w:rsidR="006D1DB3" w:rsidRDefault="006D1DB3" w:rsidP="006D1D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613BA64" w14:textId="77777777" w:rsidR="006D1DB3" w:rsidRDefault="006D1DB3" w:rsidP="006D1DB3">
      <w:pPr>
        <w:pStyle w:val="Szvegtrzs"/>
        <w:spacing w:after="0" w:line="240" w:lineRule="auto"/>
        <w:jc w:val="both"/>
      </w:pPr>
      <w:r>
        <w:t>Hatályát veszti a helyi vízgazdálkodási hatósági jogkörbe tartozó szennyvízelvezetéshez kapcsolódó talajterhelési díjjal kapcsolatos adatszolgáltatás és eljárási szabályokról és a Környezetvédelmi Alapról szóló 22/2015(VIII.25.) önkormányzati rendelet.</w:t>
      </w:r>
    </w:p>
    <w:p w14:paraId="0DE256F0" w14:textId="77777777" w:rsidR="006D1DB3" w:rsidRDefault="006D1DB3" w:rsidP="006D1D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3F2DE90A" w14:textId="77777777" w:rsidR="006D1DB3" w:rsidRDefault="006D1DB3" w:rsidP="006D1DB3">
      <w:pPr>
        <w:pStyle w:val="Szvegtrzs"/>
        <w:spacing w:after="200" w:line="240" w:lineRule="auto"/>
        <w:jc w:val="both"/>
      </w:pPr>
      <w:r>
        <w:t>Ez a rendelet 2022. június 1-jén lép hatályba.</w:t>
      </w:r>
    </w:p>
    <w:p w14:paraId="5F51F2C8" w14:textId="77777777" w:rsidR="006D1DB3" w:rsidRDefault="006D1DB3" w:rsidP="006D1DB3">
      <w:pPr>
        <w:pStyle w:val="Szvegtrzs"/>
        <w:spacing w:after="200" w:line="240" w:lineRule="auto"/>
        <w:jc w:val="both"/>
      </w:pPr>
    </w:p>
    <w:p w14:paraId="65DBCDCD" w14:textId="77777777" w:rsidR="006D1DB3" w:rsidRDefault="006D1DB3" w:rsidP="006D1DB3">
      <w:pPr>
        <w:pStyle w:val="Szvegtrzs"/>
        <w:spacing w:after="200" w:line="240" w:lineRule="auto"/>
        <w:jc w:val="both"/>
      </w:pPr>
      <w:r>
        <w:t>Répcelak, 2022. május 25.</w:t>
      </w:r>
    </w:p>
    <w:p w14:paraId="3C7327EF" w14:textId="77777777" w:rsidR="006D1DB3" w:rsidRDefault="006D1DB3" w:rsidP="006D1DB3">
      <w:pPr>
        <w:pStyle w:val="Szvegtrzs"/>
        <w:spacing w:after="200" w:line="240" w:lineRule="auto"/>
        <w:jc w:val="both"/>
      </w:pPr>
    </w:p>
    <w:p w14:paraId="28CFDC55" w14:textId="59C32BA7" w:rsidR="006D1DB3" w:rsidRDefault="006D1DB3" w:rsidP="006D1DB3">
      <w:pPr>
        <w:pStyle w:val="Szvegtrzs"/>
        <w:spacing w:after="200" w:line="240" w:lineRule="auto"/>
        <w:jc w:val="both"/>
      </w:pPr>
      <w:r>
        <w:t xml:space="preserve">Szabó József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t xml:space="preserve">dr. Kiss Julianna </w:t>
      </w:r>
    </w:p>
    <w:p w14:paraId="4B86B99B" w14:textId="77777777" w:rsidR="006D1DB3" w:rsidRDefault="006D1DB3" w:rsidP="006D1DB3">
      <w:pPr>
        <w:pStyle w:val="Szvegtrzs"/>
        <w:spacing w:after="200" w:line="240" w:lineRule="auto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1F8A2590" w14:textId="77777777" w:rsidR="006D1DB3" w:rsidRDefault="006D1DB3" w:rsidP="006D1DB3">
      <w:pPr>
        <w:pStyle w:val="Szvegtrzs"/>
        <w:spacing w:after="200" w:line="240" w:lineRule="auto"/>
        <w:jc w:val="both"/>
      </w:pPr>
    </w:p>
    <w:p w14:paraId="11CFB831" w14:textId="77777777" w:rsidR="006D1DB3" w:rsidRPr="006D1DB3" w:rsidRDefault="006D1DB3" w:rsidP="006D1DB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8D9F016" w14:textId="343E5B6E" w:rsidR="006D1DB3" w:rsidRPr="006D1DB3" w:rsidRDefault="006D1DB3" w:rsidP="006D1DB3">
      <w:pPr>
        <w:spacing w:after="0" w:line="240" w:lineRule="auto"/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</w:pPr>
      <w:r w:rsidRPr="006D1DB3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 xml:space="preserve">Záradék: a rendelet kihirdetve 2022. </w:t>
      </w:r>
      <w:r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>május 26-án.</w:t>
      </w:r>
    </w:p>
    <w:p w14:paraId="0BDC765B" w14:textId="77777777" w:rsidR="006D1DB3" w:rsidRPr="006D1DB3" w:rsidRDefault="006D1DB3" w:rsidP="006D1DB3">
      <w:pPr>
        <w:spacing w:after="0" w:line="240" w:lineRule="auto"/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</w:pPr>
    </w:p>
    <w:p w14:paraId="23B525ED" w14:textId="77777777" w:rsidR="006D1DB3" w:rsidRPr="006D1DB3" w:rsidRDefault="006D1DB3" w:rsidP="006D1DB3">
      <w:pPr>
        <w:spacing w:after="0" w:line="240" w:lineRule="auto"/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</w:pPr>
      <w:r w:rsidRPr="006D1DB3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 xml:space="preserve">dr. Kiss Julianna </w:t>
      </w:r>
      <w:proofErr w:type="spellStart"/>
      <w:r w:rsidRPr="006D1DB3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>sk</w:t>
      </w:r>
      <w:proofErr w:type="spellEnd"/>
      <w:r w:rsidRPr="006D1DB3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 xml:space="preserve">. </w:t>
      </w:r>
    </w:p>
    <w:p w14:paraId="777CB6A8" w14:textId="77777777" w:rsidR="006D1DB3" w:rsidRPr="006D1DB3" w:rsidRDefault="006D1DB3" w:rsidP="006D1DB3">
      <w:pPr>
        <w:spacing w:after="0" w:line="240" w:lineRule="auto"/>
      </w:pPr>
      <w:r w:rsidRPr="006D1DB3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 xml:space="preserve">          jegyző</w:t>
      </w:r>
    </w:p>
    <w:p w14:paraId="067848C4" w14:textId="77777777" w:rsidR="006D1DB3" w:rsidRPr="006D1DB3" w:rsidRDefault="006D1DB3" w:rsidP="006D1DB3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494480EB" w14:textId="0A8B5D62" w:rsidR="006D1DB3" w:rsidRDefault="006D1DB3" w:rsidP="006D1DB3">
      <w:pPr>
        <w:pStyle w:val="Szvegtrzs"/>
        <w:spacing w:after="200" w:line="240" w:lineRule="auto"/>
        <w:jc w:val="both"/>
      </w:pPr>
      <w:r>
        <w:br w:type="page"/>
      </w:r>
    </w:p>
    <w:p w14:paraId="6412A19E" w14:textId="598A0E92" w:rsidR="006D1DB3" w:rsidRDefault="006D1DB3" w:rsidP="006D1DB3">
      <w:pPr>
        <w:pStyle w:val="Szvegtrzs"/>
        <w:numPr>
          <w:ilvl w:val="0"/>
          <w:numId w:val="1"/>
        </w:numPr>
        <w:spacing w:after="159" w:line="240" w:lineRule="auto"/>
        <w:ind w:right="159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melléklet a </w:t>
      </w:r>
      <w:r>
        <w:rPr>
          <w:rFonts w:cs="Times New Roman"/>
          <w:b/>
          <w:bCs/>
        </w:rPr>
        <w:t>11</w:t>
      </w:r>
      <w:r>
        <w:rPr>
          <w:rFonts w:cs="Times New Roman"/>
          <w:b/>
          <w:bCs/>
        </w:rPr>
        <w:t>/2022.(V.26.) önkormányzati rendelethez</w:t>
      </w:r>
    </w:p>
    <w:p w14:paraId="39CF19F8" w14:textId="77777777" w:rsidR="006D1DB3" w:rsidRPr="00991584" w:rsidRDefault="006D1DB3" w:rsidP="006D1DB3">
      <w:pPr>
        <w:ind w:right="-480"/>
        <w:rPr>
          <w:rFonts w:ascii="Candara" w:hAnsi="Candara"/>
        </w:rPr>
      </w:pPr>
      <w:r w:rsidRPr="00473554">
        <w:rPr>
          <w:noProof/>
        </w:rPr>
        <w:drawing>
          <wp:inline distT="0" distB="0" distL="0" distR="0" wp14:anchorId="4941D398" wp14:editId="7D5F4881">
            <wp:extent cx="5760720" cy="7957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0454" w14:textId="77777777" w:rsidR="006D1DB3" w:rsidRPr="00991584" w:rsidRDefault="006D1DB3" w:rsidP="006D1DB3">
      <w:pPr>
        <w:tabs>
          <w:tab w:val="center" w:pos="8100"/>
        </w:tabs>
        <w:rPr>
          <w:rFonts w:ascii="Candara" w:hAnsi="Candara"/>
        </w:rPr>
      </w:pPr>
      <w:r w:rsidRPr="00991584">
        <w:rPr>
          <w:rFonts w:ascii="Candara" w:hAnsi="Candara" w:cs="Arial"/>
        </w:rPr>
        <w:t xml:space="preserve"> </w:t>
      </w:r>
    </w:p>
    <w:p w14:paraId="46C3D170" w14:textId="77777777" w:rsidR="00B066AA" w:rsidRDefault="00B066AA"/>
    <w:sectPr w:rsidR="00B0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2C2"/>
    <w:multiLevelType w:val="hybridMultilevel"/>
    <w:tmpl w:val="2B0CCB86"/>
    <w:lvl w:ilvl="0" w:tplc="18A492E6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9" w:hanging="360"/>
      </w:pPr>
    </w:lvl>
    <w:lvl w:ilvl="2" w:tplc="040E001B" w:tentative="1">
      <w:start w:val="1"/>
      <w:numFmt w:val="lowerRoman"/>
      <w:lvlText w:val="%3."/>
      <w:lvlJc w:val="right"/>
      <w:pPr>
        <w:ind w:left="1959" w:hanging="180"/>
      </w:pPr>
    </w:lvl>
    <w:lvl w:ilvl="3" w:tplc="040E000F" w:tentative="1">
      <w:start w:val="1"/>
      <w:numFmt w:val="decimal"/>
      <w:lvlText w:val="%4."/>
      <w:lvlJc w:val="left"/>
      <w:pPr>
        <w:ind w:left="2679" w:hanging="360"/>
      </w:pPr>
    </w:lvl>
    <w:lvl w:ilvl="4" w:tplc="040E0019" w:tentative="1">
      <w:start w:val="1"/>
      <w:numFmt w:val="lowerLetter"/>
      <w:lvlText w:val="%5."/>
      <w:lvlJc w:val="left"/>
      <w:pPr>
        <w:ind w:left="3399" w:hanging="360"/>
      </w:pPr>
    </w:lvl>
    <w:lvl w:ilvl="5" w:tplc="040E001B" w:tentative="1">
      <w:start w:val="1"/>
      <w:numFmt w:val="lowerRoman"/>
      <w:lvlText w:val="%6."/>
      <w:lvlJc w:val="right"/>
      <w:pPr>
        <w:ind w:left="4119" w:hanging="180"/>
      </w:pPr>
    </w:lvl>
    <w:lvl w:ilvl="6" w:tplc="040E000F" w:tentative="1">
      <w:start w:val="1"/>
      <w:numFmt w:val="decimal"/>
      <w:lvlText w:val="%7."/>
      <w:lvlJc w:val="left"/>
      <w:pPr>
        <w:ind w:left="4839" w:hanging="360"/>
      </w:pPr>
    </w:lvl>
    <w:lvl w:ilvl="7" w:tplc="040E0019" w:tentative="1">
      <w:start w:val="1"/>
      <w:numFmt w:val="lowerLetter"/>
      <w:lvlText w:val="%8."/>
      <w:lvlJc w:val="left"/>
      <w:pPr>
        <w:ind w:left="5559" w:hanging="360"/>
      </w:pPr>
    </w:lvl>
    <w:lvl w:ilvl="8" w:tplc="040E001B" w:tentative="1">
      <w:start w:val="1"/>
      <w:numFmt w:val="lowerRoman"/>
      <w:lvlText w:val="%9."/>
      <w:lvlJc w:val="right"/>
      <w:pPr>
        <w:ind w:left="6279" w:hanging="180"/>
      </w:pPr>
    </w:lvl>
  </w:abstractNum>
  <w:num w:numId="1" w16cid:durableId="126538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5D"/>
    <w:rsid w:val="00456B5D"/>
    <w:rsid w:val="006D1DB3"/>
    <w:rsid w:val="00B0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3781"/>
  <w15:chartTrackingRefBased/>
  <w15:docId w15:val="{9E5187E8-5CEF-4050-AC34-B994AA83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1D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1DB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6D1DB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2022-05-20T08:54:00Z</dcterms:created>
  <dcterms:modified xsi:type="dcterms:W3CDTF">2022-05-20T08:56:00Z</dcterms:modified>
</cp:coreProperties>
</file>